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most plausibly a measurement artifact of the regex scorer, since an independent three-class refusal judge does not reproduce it and a blinded human audit finds that judge substantially better aligned with the annotator than the regex on this construct (§7.2); a validation-informed parallel correction with over-refusal scored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independent validation of judge scores is exactly what the LLM-as-judge literature urges [11], [12]. It applies a condensed one-sentence yes/no rubric that encodes the same harmful-behaviour criterion as the HarmBench classifier rather than the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for the representative pair, with the five pairs spanning 0.044–0.086);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and a blinded human audit finds that judge substantially better aligned with the annotator than the regex, so the decrease is most plausibly a measurement artifact of the regex scorer — §7.2), while Qwen3-1.7B’s smaller decrease is not significant on either criterion (−0.024, McNemar p = 0.109; its CI [−0.048, 0.000] touches zero). No pair becomes significantly more prone to over-refusal on benign prompts, under either scorer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 Mistral’s greedy −0.020 just below [−0.005, +0.045], Phi’s greedy +0.020 just above [−0.055, +0.015] — small, sign-unstable gaps (each ≤0.04) around seed means that are themselves near zero (Mistral +0.012, Phi −0.012), not a directional signal the greedy run missed. This is not read off a single detection floor: per-pair minimum detectable effects vary (0.044–0.086 at n = 200), and one Phi seed is itself individually significant at −0.055 (McNemar p = 0.043) —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at the representative (median-discordant) pair, with the five pairs spanning 0.044–0.086.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both an independent refusal judge (which does not reproduce it) and the completed human refusal audit (§7.2) mark it as most plausibly a measurement artifact of that regex.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360"/>
        <w:jc w:val="both"/>
      </w:pPr>
      <w:r>
        <w:rPr>
          <w:rFonts w:ascii="Times New Roman" w:cs="Times New Roman" w:eastAsia="Times New Roman" w:hAnsi="Times New Roman"/>
          <w:sz w:val="24"/>
          <w:szCs w:val="24"/>
        </w:rPr>
        <w:t xml:space="preserve">Because the over-refusal member of every contrast above is regex-scored, and the §7.2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judge-validation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therefore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 no scorer finds a statistically significant over-refusal increase in any pair, and the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A third, open-weight judge — Llama-Guard-3-8B [18], revision-pinned — re-scored the 200 HarmBench generations of all fifteen aliases in the three-precision study (0 parse errors). Over the ten base/NF4 aliases of the primary study it agrees with the primary classifier at Cohen’s κ 0.36–0.92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 the low Phi κ — the divergence is expected and non-diagnostic; it is a reproducibility cross-check, not a second construct-validity oracle.</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resolves which scorer to weight. All 200 items of a gold set drawn from the same saved responses — deliberately over-sampling the regex-versus-judge disagreements (120 of 200), presentation-shuffled and label-blind —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 strict-mapping Cohen’s κ 0.485 versus −0.006, broad-mapping 0.662 versus 0.054. One protocol deviation is disclosed rather than glossed (pre-registration §8): the blindness exclusion was applied prompt-wide — the five quoted prompts removed from all ten aliases — instead of to the ≤10 pre-specified (alias, prompt) items, which under the pre-registration’s strict letter voids the clean confirmatory badge, so this is reported as an Outcome-J–consistent validation carrying one disclosed deviation rather than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are asymmetric in kind: the regex detected 2 of the annotator’s 63 full refusals (the missed refusals are typically long, polite, lecture-style declinations carrying none of the template phrases), whereas the judge caught 61 of 63 and errs by over-flagging, with its over-flags concentrated on the genuinely subjective partial-versus-full boundary (three-class exact agreement 0.695). Three bounds are disclosed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 a timing disclosed rather than argued from. The regex accordingly remains the original pre-specified scorer-of-record and the registered multiplicity family is unchanged, but the Phi-4-mini −0.048 contrast is carried as most plausibly a measurement artifact of the regex scorer, with the §6.7 validation-informed parallel family giving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(0.044–0.086 across the five),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likewise grounded by a completed 200-item blinded audit (judge strict κ 0.485 vs regex −0.006, a mechanical Outcome J carried with one disclosed protocol deviation, prereg §8); both groundings rest on a single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 HarmBench harmful compliance (classifier κ 0.59 vs regex 0.11 against human labels) and the XSTest refusal gold set, now completed as well (200 items, blinded, a mechanical Outcome J carried with one disclosed protocol deviation, prereg §8: the judge aligns substantially better with the annotator than the regex). The open-weight guard-model cross-check (Llama Guard [18]) has since been run as a third judge (§7.2), so the residual on that axis is the annotator, not the instrument.</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 not reproduced by an independent refusal judge that a blinded human audit finds substantially better aligned with the annotator, and absent from the validation-informed parallel correction, under which only the two capability losses survive.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2026-07-19T08:35:06.587Z</dcterms:created>
  <dcterms:modified xsi:type="dcterms:W3CDTF">2026-07-19T08:35:06.588Z</dcterms:modified>
</cp:coreProperties>
</file>

<file path=docProps/custom.xml><?xml version="1.0" encoding="utf-8"?>
<Properties xmlns="http://schemas.openxmlformats.org/officeDocument/2006/custom-properties" xmlns:vt="http://schemas.openxmlformats.org/officeDocument/2006/docPropsVTypes"/>
</file>