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strictly contains the classifier's),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and a power analysis converge independently on the same capability-driven reading.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2,800 lines of production Python and 1,800 lines of automated tests; 329 tests across twenty-five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DecodingTrust [2], and SafetyBench [3]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and AdvBench provide curated unsafe prompts and measure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[18]. Safety-specific studies make the point directly. Kharinaev et al. [14] evaluate 66 quantized variants across multiple post-training and quantization-aware methods and find that quantization can degrade safety alignment, with no single method dominating across models and bit-widths. Egashira et al. [16] show that widely used BitsAndBytes schemes, including NF4, can be manipulated so that a benign full-precision model becomes harmful once quantized. HarmLevelBench [17]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329 automated tests across twenty-five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329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and Phi-4-mini-instruct)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[24]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[−0.085,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two over-refusal decreases, Qwen3-1.7B (−0.028) and Phi-4-mini (−0.044).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Four of the five XSTest over-refusal deltas are non-significant or negative, and the two significant ones are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at the 512-token reference budget, the deltas whose bootstrap CI excludes zero (★) are Llama-3.2-3B ΔASR (−0.040, a decrease; McNemar p = 0.021 — the only significant ΔASR, and no pair shows a significant increase), Qwen3-1.7B ΔMMLU (−0.090), and the two over-refusal decreases Qwen3-1.7B (−0.028) and Phi-4-mini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deltas are decreases. The composite picture is that NF4 quantization does not produce a uniform or significant safety regression across families and scales;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[−0.070,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[−0.070, −0.010]; McNemar p = 0.021); every other pair is within noise: Qwen 1.7B (0.000, CI [−0.055, +0.055]; McNemar p = 1.000), Qwen 4B (+0.040, CI [0.000, +0.080]; McNemar p = 0.096), Mistral (−0.020, CI [−0.085,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[23]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significantly (0.056 → 0.028, ΔOR = −0.028, significant).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the model publisher's recommended non-thinking setting (temperature 0.7, top-p 0.8)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(1/5 seeds significant, a directional non-null), and Llama has mean −0.024 with no positive seed (0/5), matching its significant safety-improving primary decrease. Across all three pairs no pair is robustly positive. Results are written to results_512/analysis/sensitivity_multiseed.json;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two over-refusal decreases, Qwen 1.7B (−0.028) and Phi-4-mini (−0.044).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[−0.070, −0.010], significant — a decrease), Mistral-7B −0.020 (CI [−0.085,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three show no significant change in over-refusal and two move in the benign direction. Under the v2 scorer: Qwen3-1.7B ΔOR = −0.028 (0.056 → 0.028, significant), Qwen3-4B 0.000 (0.032 → 0.032, not significant), Llama 3B +0.016 (0.036 → 0.052, not significant), Mistral-7B +0.004 (0.004 → 0.008, not significant), and Phi-4-mini −0.044 (0.128 → 0.084, significant). The two significant over-refusal deltas (Qwen 1.7B and Phi)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two significant moves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two significant deltas are decreases).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adversarial prompts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[−0.070, −0.010], statistically significant; McNemar's exact test p = 0.021): the 4-bit model refuses more of the adversarial prompts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[−0.070,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significant)), and the two significant moves, Qwen3-1.7B (−0.028) and Phi-4-mini (−0.044),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two significant moves are reductions in false refusals (Qwen 1.7B and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Every point lies below the diagonal, so the proxy systematically over-counts harmful compliance (most severely for Qwen and Mistral). Right: judge-vs-proxy Cohen's κ per model, which is family-dependent: low for Qwen/Mistral (κ ≈ 0.25–0.41)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 for Qwen and Mistral (κ ≈ 0.25–0.41)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[−0.070,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0.25–0.41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[20], [21]. Two further residual caveats: the second judge is a versioned API model (less reproducible than the open-weight primary), and both judges share the broad lineage of LLM-based harm classification, so a fully independent open-weight guard (e.g. Llama Guard [22])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(0.835) rising to 0.900 under quantization, a +0.065 'increase' that, taken at face value, would label the pair alignment_degradation. The official classifier tells the opposite story: at the 512-token reference budget genuine harmful compliance is 0.585 at baseline and 0.565 under 4-bit, a ΔASR of −0.020 (CI [−0.085, +0.040], not significant; McNemar p = 0.627): quantization slightly reduces, not increases, true harmful compliance. The proxy and the judge disagree in sign, and the judge–proxy agreement is the lowest in the study (Cohen's κ = 0.19 at baseline, 0.11 under 4-bit). The second independent judge (gpt-4o) corroborates the classifier, not the proxy, agreeing with the primary classifier at κ 0.60–0.63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almost perfectly (κ 0.79 at baseline, 0.95 under 4-bit). On capability, Phi shows a modest, non-significant dip on both axes: MMLU −2.7 pp and ARC −1.5 pp (both n.s.). Its one significant delta is on over-refusal: the 4-bit model is slightly less over-cautious on benign prompts, ΔOR = −0.044 (CI [−0.076, −0.012],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0.25–0.41)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[18],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truncation-budget artefact of the same kind that inflated the Qwen-1.7B NF4 move (§6.16),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 artefact of that pair's truncated generations rather than a method-specific "INT8 erodes safety" effect.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HarmBench's own reference evaluation pipeline generates 512 tokens, and the HarmBench authors note that the number of tokens a target model is allowed to generate materially affects the measured attack-success rate.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[−0.070,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 so at 512 there is no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here depending on model size, family, and harm category,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[19])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0.11)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329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L. Sun et al., “TrustLLM: Trustworthiness in large language models,” in Proc. International Conference on Machine Learning (ICML),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arXiv:2411.06835, 2024.</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329 automated tests across twenty-five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summary loading, and the schema-validated config + sbatch emission for the add-model 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329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Twenty-five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(329 tests across 25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truncated.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329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e6ebf378724910129ec7d4753b17807a2e4cdc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2026-07-02T03:50:20.556Z</dcterms:created>
  <dcterms:modified xsi:type="dcterms:W3CDTF">2026-07-02T03:50:20.556Z</dcterms:modified>
</cp:coreProperties>
</file>

<file path=docProps/custom.xml><?xml version="1.0" encoding="utf-8"?>
<Properties xmlns="http://schemas.openxmlformats.org/officeDocument/2006/custom-properties" xmlns:vt="http://schemas.openxmlformats.org/officeDocument/2006/docPropsVTypes"/>
</file>