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Five model pairs across four families are evaluated — Qwen3-1.7B, Qwen3-4B, Llama-3.2-3B-Instruct, Mistral-7B-Instruct-v0.3, and Phi-4-mini-instruct — spanning roughly 1.7 to 7.2 billion parameters as cross-family and scale robustness checks.</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original runs completed on the NTU TC1 GPU cluster on 2026-05-27 (judge validation 2026-06-06); a cross-family extension added the Mistral-7B and Phi-4-mini pairs on 2026-06-15.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The cross-family extension corroborates the pattern: Mistral-7B shows no genuine increase under the judge (ΔASR = −0.040, not significant) despite the proxy reporting +0.055 — the study's starkest proxy-versus-judge divergence — and Phi-4-mini is robust_preservation (ΔASR = 0.000); across all five pairs the Qwen3-1.7B increase remains the only significant safety worsening. Under the official classifier, NF4 quantization does not significantly increase true harmful compliance in any other pair. Over-refusal changes are small and the only significant ΔOR is a decrease (Phi-4-mini, −0.028), so no pair becomes more trigger-happy on benign prompts. A first-token refusal-margin probe (§6.14) further localises the quantization effect to near-boundary prompts and finds it symmetric and, for the smallest model, more consistent with capability-driven boundary instability than a targeted alignment shift.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configured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282 automated tests across twenty-two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make the point directly. Kharinaev et al. (arXiv:2502.15799, 2025) evaluate 66 quantized variants across multiple post-training and quantization-aware methods and find that quantization can degrade safety alignment, with no single method dominating across models and bit-widths. Egashira et al. (Exploiting LLM Quantization, NeurIPS 2024) show that widely used BitsAndBytes schemes — including NF4 — can be manipulated so that a benign full-precision model becomes harmful once quantized. HarmLevelBench (Belkhiter et al., arXiv:2411.06835, 2024) reports that the direction of the safety change under AWQ and GPTQ is non-uniform across attack types. Q-resafe (Chen et al., ICML 2025) confirms quantization-induced safety degradation and proposes a quantization-aware patching method to repair it. Importantly, most of these studies evaluate either perplexity or general capability, with safety considered (if at all) as a separate axis rather than jointly with capability against a fixed capability anchor —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 MMLU (the primary anchor) and ARC-Challenge (a structurally different second capability benchmark, added as T23) —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a two-benchmark composite (MMLU + ARC-Challenge).</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as a two-benchmark composite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282 automated tests across twenty-two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282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282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all six models via a parallel per-model job set, slurm/jobs_tc1_arc/ —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 Mistral-7B-Instruct-v0.3 and Phi-4-mini-instruct —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all six models in a separate per-model job set (§6.4.1). The results are presented in Table 6.1 (per-pair raw metrics) and Table 6.2 (quantization deltas and interpretation labels). Detailed per-pair observations are in §6.6 (Qwen 2B), §6.8 (Qwen 4B), §6.10 (Llama 3.2 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[−0.110,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 [−0.053,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[−0.030, +0.030]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 [−0.057,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Llama 3.2 3B ΔMMLU (−0.043), and Phi-4-mini Δover-refusal (−0.028, a significant decrease).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Four of the five XSTest over-refusal deltas are non-significant under both scorers; only Phi-4-mini's is significant, and as a decrease — so no pair becomes more over-refusing under quantization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−0.023</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 This 29:1 ratio is, however, specific to MMLU: the ARC-Challenge second capability benchmark (§6.4.1) does not reproduce it — there the 4B pair loses marginally more than the 1.7B pair —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0.135 while Qwen3-4B's is 0.065, so scaling from 1.7B to 4B reduces genuine baseline harmful compliance by 7.0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far larger — 0.600 versus 0.240 — but that reflects the proxy's over-counting; the genuine harmful-compliance gap is the 7.0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The 1.7B pair worsens on both axes — judge ΔASR +5.5 pp (CI [+0.010, +0.100], significant; McNemar p = 0.027) together with a significant ΔMMLU of −8.7 pp — the broad_degradation pattern. The 4B pair shows the contrasting profile the anchor exists to separate: capability is preserved (ΔMMLU −0.3 pp, within tolerance) while the judge ΔASR is positive but not significant (+2.5 pp, CI [−0.000, +0.055]) — alignment_degradation at the point-estimate level, carried as directional. Without the MMLU anchor the 4B safety nudge could be mistaken for a capability artefact and the 1.7B capability loss could be read as the whole story; with the anchor, each pair's two axes are interpreted jointly. This is the methodological payoff of the capability-anchored design. (The demoted v2 proxy paints a different and misleading picture here — a −2.5 pp 1.7B ΔASR and a +6.5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no ΔASR is a significant increase outside the smallest Qwen model, and the one robust signal (Qwen 1.7B ASR increase) goes in the safety-worsening direction.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illustrate why the capability anchor is necessary — even though, under the primary (judge) scorer, two of them land on the same label. For the qwen_2b pair (Qwen 1.7B), MMLU fell by 8.7 pp (−14.0% relative; CI [−0.137, −0.037], significant) and the judge HarmBench ASR rose significantly (+5.5 pp, CI [+0.010, +0.100]; McNemar p = 0.027). Both axes worsen, so the pair is broad_degradation (evidence: confirmed): the capability drop means the harmful-compliance increase cannot be read as a pure alignment shift, and the significant ASR rise means it cannot be dismissed as mere capability collapse — each axis constrains the reading of the other. For the qwen_4b pair, MMLU is preserved (−0.3 pp, within tolerance, not significant) while the judge ΔASR is positive but not significant (+2.5 pp, CI [−0.000, +0.055]; McNemar p = 0.18). Capability held with a directional safety worsening — the alignment_degradation pattern at the point-estimate level, carried with a directional (not confirmed) evidence status. The anchor is exactly what licenses reading the 4B safety move as a tentative alignment direction rather than a capability artefact: capability did not move. For the llama_3_2_3b pair, MMLU drops 4.3 pp (significant) while the judge ΔASR is exactly zero with a symmetric noise band; capability loss without a safety direction is broad_degradation (confirmed). The contrast is decisive: without the MMLU anchor the qwen_4b safety nudge could not be separated from a capability artefact, and the Llama capability cost would be invisible behind its unchanged ASR. The anchor turns otherwise ambiguous quantization outcomes into separable diagnostic categories — and the second capability benchmark (§6.4.1) shows why the anchor itself is most trustworthy read across more than one benchmark. (Under the demoted v2 refusal proxy the qwen_2b and qwen_4b ASR figures look very different — −2.5 pp and +6.5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 ARC-Challenge (allenai/ai2_arc; 1,172 reasoning-oriented science questions; identical exact-match scoring) — was run on all six models to test whether the MMLU-based capability claims replicate (results/analysis/pairwise_deltas, benchmark = arc; same 2,000-resample paired-bootstrap CI as MMLU). The direction is robust: every pair loses capability under quantization on ARC as well as MMLU. The magnitude and significance, however, diverge informatively. Qwen 1.7B — which loses a large, significant 8.7 pp on MMLU — loses only 1.3 pp on ARC (CI [−0.036, +0.011], not significant), so the severe MMLU figure is substantially MMLU-specific (consistent with the answer-format truncation noted in Chapter 8), and the capability half of the 1.7B dual degradation is correspondingly milder than MMLU alone implies. Qwen 4B shows the opposite pattern: flat on MMLU (−0.3 pp, n.s.) but a small, significant −2.1 pp on ARC (CI [−0.037, −0.007]), so its capability is less fully preserved than MMLU suggested. Llama 3B is the most consistent pair — significant on both (−4.3 pp MMLU, −2.8 pp ARC). Two implications follow. First, RQ3 (NF4 degrades capability) is strengthened: the direction holds across two independent benchmarks and at least one benchmark reaches significance for every pair. Second, the dramatic within-Qwen scale gap under MMLU (the ≈29:1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2.3 pp MMLU dip — both new families showing the same direction-consistent, modest capability story.</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(the two cross-family pairs added in §6.13 are likewise non-significant — Mistral −0.040, CI [−0.110, +0.025]; Phi 0.000, CI [−0.030, +0.030] — so Qwen 1.7B remains the only HarmBench delta whose CI excludes zero across all five pairs).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original three pairs, Qwen 1.7B and Llama are confirmed and Qwen 4B is directional;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3"/>
        <w:spacing w:after="120" w:before="220"/>
      </w:pPr>
      <w:r>
        <w:rPr>
          <w:rFonts w:ascii="Calibri" w:cs="Calibri" w:eastAsia="Calibri" w:hAnsi="Calibri"/>
          <w:b/>
          <w:bCs/>
          <w:sz w:val="24"/>
          <w:szCs w:val="24"/>
        </w:rPr>
        <w:t xml:space="preserve">6.6.2 Per-category harmful-compliance profile</w:t>
      </w:r>
    </w:p>
    <w:p>
      <w:pPr>
        <w:spacing w:after="160" w:line="300"/>
        <w:jc w:val="both"/>
      </w:pPr>
      <w:r>
        <w:rPr>
          <w:rFonts w:ascii="Calibri" w:cs="Calibri" w:eastAsia="Calibri" w:hAnsi="Calibri"/>
          <w:sz w:val="22"/>
          <w:szCs w:val="22"/>
        </w:rPr>
        <w:t xml:space="preserve">To check whether the Qwen 1.7B safety regression is concentrated in a single harm type or is broad-based, the judge ASR was decomposed by HarmBench semantic category (results/analysis/harmbench_category_breakdown.{json,csv}, produced by scripts/harmbench_category_breakdown.py from the saved generations and judge sidecars — no new inference). Under the official classifier, the 1.7B pair's ASR rises in five of six categories under quantization: misinformation/disinformation (0.412 → 0.500), illegal activity (0.034 → 0.121), harassment/bullying (0.053 → 0.105), the generic harmful bucket (0.190 → 0.238), and chemical/biological (0.036 → 0.071); only cybercrime/intrusion is unchanged (0.125 → 0.125). The aggregate +0.055 ΔASR is therefore broad-based rather than an artefact of one category, which strengthens the headline finding. Two categories are notable for deployment: the highest-prevalence harm at both precisions is misinformation (already 0.412 at full precision, rising to 0.500), and the proportionally largest jump is in illegal-activity prompts (more than tripling off a low base). Per-category counts are small (19–58 prompts each), so these rates are descriptive and exploratory — reported to characterise where the aggregate effect sits, not as individually significance-tested claims. For contrast, the Qwen 4B pair's increases are smaller and mixed (three categories up, cybercrime/intrusion down) and the Llama pair is essentially flat across categories, consistent with their non-significant aggregate ΔASR.</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Across the five pairs, four show no significant change in over-refusal and the fifth moves in the benign direction. Under the v2 scorer: Qwen 2B ΔOR = −0.024 (CI [−0.052, 0.000], not significant), Qwen 4B −0.008 (CI [−0.024, +0.008], not significant), Llama 3B +0.016 (CI [−0.004, +0.040], not significant), Mistral-7B 0.000 (CI [−0.012, +0.012], not significant), and Phi-4-mini −0.028 (CI [−0.052, −0.004], significant). The only significant over-refusal delta is Phi's, and it is a decrease — the 4-bit model refuses fewer benign prompts, not more. No pair shows a significant increase. The answer to RQ2: NF4 quantization does not produce a detectable over-refusal increase on benign prompts at this sample size, across four families and five pairs; the single significant move runs in the safety-benign direction. This near-null is practically useful for deployment teams considering NF4 compression: the concern that quantization would make models more trigger-happy on benign prompts is not supported by these data — if anything, the one significant effect points the other way.</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 A second capability benchmark (ARC-Challenge; §6.4.1) corroborates the direction on all three pairs and reaches significance for Qwen 4B and Llama; its one substantive divergence is the Qwen 1.7B loss, which is far smaller and non-significant on ARC (−1.3 pp) than on MMLU (−8.7 pp). The cross-benchmark reading is therefore that NF4 reliably reduces capability in direction, while the *severity* for the smallest model was overstated by MMLU alone.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more sensitive to NF4 quantization than larger ones on harmful compliance, and on capability *as measured by MMLU* — but the capability half of this claim is benchmark-dependent. On the ARC-Challenge second benchmark (§6.4.1) the within-family ordering does not hold: the 4B pair loses marginally more capability than the 1.7B pair, so the dramatic ≈29:1 MMLU ratio is an MMLU-specific result, not a benchmark-independent scale law. The safety-axis contrast (1.7B significant ΔASR; 4B not) is independent of the capability benchmark and stands. The robust RQ4 conclusion is therefore: smaller Qwen models are clearly more sensitive on harmful compliance, while the within-family capability-sensitivity gap is real on MMLU but should not be over-generalised — a second benchmark roughly equalises it.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the original two families: NF4 quantization is never safety-improving on harmful compliance and does not significantly raise over-refusal; capability loss is consistent in direction where significant. The one confirmed safety regression (Qwen 1.7B) would benefit from replication on a same-family-different-scale pair (e.g. Qwen 0.5B / 7B) to test whether the smallest-model dual degradation is a general scale effect. The cross-family extension (§6.13) tests the generalisation across families: neither Mistral-7B (ΔASR −0.040, not significant) nor Phi-4-mini (0.000) shows a significant increase, so the Qwen 1.7B regression remains unique to the smallest model while the broad pattern — no significant safety improvement, capability loss where significant — holds across four families.</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the most consistent cross-family signal: four of the five ΔOR deltas are not statistically significant — Qwen 2B (−0.024, CI [−0.052, 0.000]), Qwen 4B (−0.008, CI [−0.024, +0.008]), Llama 3B (+0.016, CI [−0.004, +0.040]), and Mistral-7B (0.000, CI [−0.012, +0.012]) — and the fifth, Phi-4-mini, is significant but in the benign direction (−0.028, CI [−0.052, −0.004]): its 4-bit model over-refuses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 the only significant move is a reduction in false refusals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 These conclusions are drawn from the original three pairs; the cross-family extension (§6.13) adds Mistral-7B and Phi-4-mini and finds the same diagnostic structure — Mistral in the proxy-over-counting camp (judge ΔASR −0.040, not significant, versus a +0.055 proxy artefact) and Phi in the proxy-reliable, robust_preservation camp —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original models (n = 200 each, 1 200 total) on the NTU TC1 cluster via sbatch in offline mode on 2026-06-06 (job 61047); the two cross-family pairs (§6.13) were scored identically on 2026-06-15 (job 61134, a further 800 classifications, also zero parse errors).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0.345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44.5%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Result 4 —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0.60 to 0.95 (moderate-to-almost-perfect agreement) — far higher than the regex-versus-classifier agreement (κ ≈ 0.11–0.37 for Qwen and Mistral), confirming that it was the regex, not the classifier, that was the outlier. The per-pair ΔASR direction is reproduced: gpt-4o gives Qwen 1.7B +0.045 (versus the classifier's +0.055), Qwen 4B +0.010 (versus +0.025), and Llama +0.005 (versus 0.000); for the cross-family pairs it gives Mistral −0.030 (versus −0.040) and Phi +0.005 (versus 0.000), and crucially it places Mistral's ASR near 0.37 — matching the classifier, not the v2 proxy's 0.84–0.89. Both judges agree that only the smallest Qwen model moves materially and that Mistral's proxy-driven 'increase' is an artefact. One nuance is stated plainly: under gpt-4o the Qwen 1.7B ΔASR is not statistically significant (McNemar p = 0.122) whereas under the primary classifier it is (p = 0.027). The effect's direction and approximate magnitude are judge-robust; its statistical significance sits at the boundary and is judge-dependent — a conclusion that converges with the multi-seed sensitivity arm (§6.6.1), which likewise found the effect directionally reproduced but attenuated. The honest reading across both robustness checks is that the Qwen 1.7B harmful-compliance increase is real and modest (≈ +0.045 to +0.055), not a large or certain effect. Per-model agreement and per-pair figures are in results/analysis/judge_pairwise_agreement.{json,csv}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0.60–0.95 across all ten models and reproduces the finding's direction and magnitude. Two residual caveats remain: the second judge is a versioned API model (less reproducible than the open-weight primary), and both judges share the broad lineage of LLM-based harm classification, so a fully independent open-weight guard (e.g. LlamaGuard)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(0.835) rising to 0.890 under quantization — a +0.055 'increase' that, taken at face value, would label the pair alignment_degradation. The official classifier tells the opposite story: genuine harmful compliance is 0.385 at baseline and 0.345 under 4-bit, a ΔASR of −0.040 (CI [−0.110, +0.025], not significant; McNemar p = 0.31) — quantization slightly reduces, not increases, true harmful compliance. The proxy and the judge disagree in sign, and the judge–proxy agreement is the lowest in the study (Cohen's κ = 0.19 at baseline, 0.11 under 4-bit; the regex flags 92–110 of 200 prompts harmful that the classifier clears). The second independent judge (gpt-4o) corroborates the classifier, not the proxy: it places Mistral's ASR at 0.385/0.355 — versus the proxy's 0.835/0.890 — and gives ΔASR −0.030, agreeing with the primary classifier at κ 0.60–0.63. Capability is essentially preserved (MMLU −1.7 pp, n.s.; ARC +0.9 pp, n.s.) and over-refusal is flat (ΔOR = 0.000), so under the judge the pair reads as alignment_improvement at the point-estimate level, carried as directional because its ΔASR CI spans zero. For the study's largest model, NF4 leaves genuine harmful compliance unchanged-to-slightly-lower while preserving capability —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and identical across the pair — judge ASR 0.055 at both baseline and 4-bit (ΔASR exactly 0.000, CI [−0.030, +0.030]; McNemar p = 1.00) — so on safety the pair is robust_preservation (evidence status: null). The judge–proxy agreement is high (κ = 0.67, like Llama), and the second judge agrees almost perfectly (κ 0.79 at baseline, 0.95 under 4-bit; ΔASR +0.005). On capability, Phi shows a modest, non-significant dip on both axes — MMLU −2.3 pp (CI [−0.057, +0.010]) and ARC −1.5 pp (CI [−0.032, 0.000]). Its one significant delta is on over-refusal: the 4-bit model is slightly less over-cautious on benign prompts, ΔOR = −0.028 (CI [−0.052, −0.004], significant) —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NF4 quantization never significantly increases genuine harmful compliance in any of the five pairs: the Qwen 1.7B pair remains the study's sole statistically significant ΔASR (+0.055), while the two new families add a non-significant decrease (Mistral, −0.040) and an exact null (Phi, 0.000). The proxy-reliability split now spans four families — the regex over-counts severely for Qwen and Mistral (judge-vs-proxy κ 0.11–0.37) but tracks the judge for Llama and Phi (κ 0.67–0.79) — so the methodological contribution (validate the scorer before trusting the delta) generalises rather than being a Qwen-specific artefact. On over-refusal, four of five pairs show no significant change and the fifth (Phi) moves in the benign direction, so the RQ2 deployment message — NF4 does not make models more trigger-happy on benign prompts —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outside the smallest Qwen model,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NF4 rarely shifts harmful compliance and where it does (only the smallest Qwen pair, modestly). To probe why, a derived mechanism analysis measured each model's first-token refusal margin — m = log P(refusal-token set) − log P(compliance-token set), a scale-invariant log-probability difference at the first generated position —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(2024),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 boundary instability, not targeted erosion. A thin baseline margin does predict which prompts flip under NF4, but the honest within-model effect is modest. Pooling all 1,000 prompts gives AUC 0.76; after removing the between-family level difference (z-scoring the margin within each pair) it falls to 0.64, and within individual pairs it is near chance for the two thinnest-margin families (Qwen-1.7B 0.61, Mistral 0.54). Decisively, the flips are symmetric: of 92 flips, 50 are harmful-ward (refuse→comply) and 42 are safe-ward (comply→refuse), and a thin margin predicts the safe-ward flips (AUC 0.78) at least as strongly as the harmful-ward ones (0.75). Thin first-token margins thus mark prompts sitting near the greedy-decoding decision boundary that quantization destabilises in either direction — a near-definitional boundary-fragility effect, not evidence of a safety-specific erosion mechanism.</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−0.35 to +1.8; the whole-sequence margins reverse the first-token sign for Qwen-1.7B and Phi, so the directional claim is first-token-specific. The supportable statement is that NF4 perturbs the first-token refusal distribution in a model-specific direction, not that it uniformly erodes refusal. Tellingly, Qwen-4B shifts comply-ward more than Qwen-1.7B (+4.0 vs +1.2) yet flips fewer prompts (9 vs 21), because its baseline margin is far wider (median 13.0 vs 3.8) —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 it is to localise the effect to near-boundary prompts and to weigh the evidence, for the one moving pair, toward the capability side of the study's central dichotomy. Mechanism follow-ups (an independent activation-space refusal-direction probe, a paired neutral-margin control, and an INT8 precision point) are listed in Chapter 9.</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 1.7B broad_degradation finding (significant ΔASR and ΔMMLU under the judge) and the Qwen 4B directional alignment_degradation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0.69–0.94) and the second judge reproduces the Qwen 1.7B increase in direction and approximate magnitude (+0.045 versus +0.055), though at McNemar p = 0.122 it does not reach significance under the second judge (§6.12, Result 4). The construct-validity threat is therefore substantially resolved — the finding is not an artefact of one classifier —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The most safety-relevant result — a significant increase in genuine harmful compliance under NF4 — appears only in the smallest model (Qwen 1.7B), which is precisely the size class most likely to be quantized for on-device or edge use. A team that validates safety on the full-precision 1.7B release and then ships the 4-bit build inherits a harmful-compliance rate that is higher (broad-based across harm categories, §6.6.2) and a capability level that is lower (−8.7 pp MMLU) than what they signed off on. The multi-seed check (§6.6.1) tempers the magnitude — under stochastic decoding the increase is roughly half the greedy estimate and not present in every seed — but its direction never favours the quantized model, so the deployment guidance is one-sided: 4-bit NF4 did not improve safety in any pair, and degraded it most where compression is most attractive. The larger Qwen 4B model is the safer thing to quantize: capability is preserved and the safety shift is only a non-significant nudge. The operational recommendations that follow are to re-run safety evaluation on the exact quantized artefact that will be deployed (not the full-precision release), and to prefer the largest model that fits the memory budget over aggressively quantizing a smaller one.</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consistently within, and extend, the emerging quantization-and-safety literature (§2.4). That quantization can degrade safety alignment, rather than being behaviourally neutral, matches Kharinaev et al. (arXiv:2502.15799) and Q-resafe (Chen et al., ICML 2025); that the effect is non-uniform — here depending on model size, family, and harm category — echoes the method- and attack-dependence those works and HarmLevelBench (Belkhiter et al.) report. The Egashira et al. (NeurIPS 2024)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MMLU capability jointly on the same on-the-fly-quantized weights, it separates a genuine alignment regression (Qwen 1.7B — ASR rises while capability falls) from a capability-driven artefact (Llama — capability falls but harmful compliance does not), a distinction the cited single-axis studies are not structured to make.</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six models (§6.4.1). It confirms the direction of capability loss but shows the MMLU magnitudes are partly benchmark-specific — Qwen 1.7B's large MMLU drop does not replicate on ARC, while Qwen 4B shows a small significant ARC loss MMLU missed — so capability is now reported as a two-benchmark composite.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six models (§6.4.1) and corroborated the direction of capability loss while showing the MMLU magnitudes are partly benchmark-specific — notably the Qwen 1.7B drop (−8.7 pp MMLU vs −1.3 pp ARC, n.s.) and the within-Qwen scale ratio (≈29:1 on MMLU,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2024) as a second mechanism window that does not rely on a hand-built token set; (2) a paired neutral-margin control with a significance test, to separate safety-targeted shifts from generic confidence softening more rigorously; and (3) an INT8 precision point so the margin can be traced across the fp16 → INT8 → NF4 spectrum — testing whether erosion scales monotonically with quantization aggressiveness or exhibits a cliff at lower bit-widths.</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 on-the-fly NF4 with the same BitsAndBytesConfig, greedy decoding, the same four benchmarks at the same sample counts, seed 42, and the official HarmBench classifier as the primary ASR scorer —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neither new pair shows a significant ASR increase — Mistral ΔASR −0.040 (n.s.; the v2 proxy's +0.055 is a sign-flipped over-count, judge-vs-proxy κ as low as 0.11) and Phi ΔASR 0.000 (robust_preservation, κ 0.67) — so adding two families leaves Qwen 1.7B as the study's only significant safety regression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(groundwork implemented; TC1 run pending). The study so far covers a single quantization method (NF4) at a single bit-width (4-bit). To test whether the safety and capability effects depend on quantization aggressiveness and method, an INT8 precision point (bitsandbytes LLM.int8 — a different method from NF4, not a lower-bit NF4) has been implemented as a third precision, so each model can be evaluated across fp16 -&gt; INT8 -&gt; NF4. The groundwork is complete: a backward-compatible quant_method config/loader field (existing fp16/NF4 load calls remain byte-identical), a separate configs/tc1_int8.yaml so the evaluated ten-model study and its base-vs-4bit pairwise pipeline are untouched, per-model INT8 SLURM matrix/smoke/judge jobs, and scripts/precision_sweep_analysis.py which reports, per pair, the metric at each precision and whether degradation is graded across precisions or concentrated as a cliff at the lower bit-width. Running it on TC1 and folding the fp16 -&gt; INT8 -&gt; NF4 trend into Chapter 6 is the immediate next step (the open question being whether the safety/capability change is graded with bit-width or cliff-like at 4-bit).</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(κ 0.69–0.94) and reproduced the finding's direction (§6.12, Result 4) —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282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and a cross-family extension added the Mistral-7B and Phi-4-mini pairs on 2026-06-15 (§6.13). Under the official classifier the three original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original pairs span distinct diagnostic categories, and none shows reduced harmful compliance under quantization. The cross-family extension (§6.13) reinforces this across four families: among all five pairs the Qwen 1.7B increase remains the sole significant ΔASR, Mistral-7B's apparent proxy-driven rise is absent under the judge (ΔASR −0.040, not significant) at preserved capability, and Phi-4-mini is robust_preservation — so the conclusion that NF4 never significantly improves, and only in the smallest model significantly worsens, genuine harmful compliance now rests on four families rather than two. Finally, a mechanism probe (§6.14) localises the quantization effect to near-boundary prompts and finds it symmetric — destabilising refusals in both directions — and, for the one behaviourally-moving pair (Qwen-1.7B), more consistent with capability-driven boundary instability than a targeted alignment shift, reinforcing the capability-anchored reading rather than an alignment-erosion one.</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Llama 0.000, Mistral-7B −0.040, and Phi-4-mini 0.000 are all within noise. The data refute the optimistic claim that quantization is safety-neutral or improving.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no pair shows a significant ASR increase outside Qwen 1.7B (Mistral's judge point estimate is even negative), over-refusal never significantly rises,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Kharinaev, A., Moskvoretskii, V., Shvetsov, E., et al. Investigating the Impact of Quantization Methods on the Safety and Reliability of Large Language Models. arXiv:2502.15799, 2025.</w:t>
      </w:r>
    </w:p>
    <w:p>
      <w:pPr>
        <w:pStyle w:val="ListParagraph"/>
        <w:numPr>
          <w:ilvl w:val="0"/>
          <w:numId w:val="7"/>
        </w:numPr>
        <w:spacing w:after="80" w:line="280"/>
      </w:pPr>
      <w:r>
        <w:rPr>
          <w:rFonts w:ascii="Calibri" w:cs="Calibri" w:eastAsia="Calibri" w:hAnsi="Calibri"/>
          <w:sz w:val="22"/>
          <w:szCs w:val="22"/>
        </w:rPr>
        <w:t xml:space="preserve">Chen, K., Zhang, J., Hu, J., et al. Q-resafe: Assessing Safety Risks and Quantization-aware Safety Patching for Quantized Large Language Models. ICML 2025; arXiv:2506.20251, 2025.</w:t>
      </w:r>
    </w:p>
    <w:p>
      <w:pPr>
        <w:pStyle w:val="ListParagraph"/>
        <w:numPr>
          <w:ilvl w:val="0"/>
          <w:numId w:val="7"/>
        </w:numPr>
        <w:spacing w:after="80" w:line="280"/>
      </w:pPr>
      <w:r>
        <w:rPr>
          <w:rFonts w:ascii="Calibri" w:cs="Calibri" w:eastAsia="Calibri" w:hAnsi="Calibri"/>
          <w:sz w:val="22"/>
          <w:szCs w:val="22"/>
        </w:rPr>
        <w:t xml:space="preserve">Egashira, K., Vero, M., Staab, R., He, J., Vechev, M. Exploiting LLM Quantization. NeurIPS 2024; arXiv:2405.18137, 2024.</w:t>
      </w:r>
    </w:p>
    <w:p>
      <w:pPr>
        <w:pStyle w:val="ListParagraph"/>
        <w:numPr>
          <w:ilvl w:val="0"/>
          <w:numId w:val="7"/>
        </w:numPr>
        <w:spacing w:after="80" w:line="280"/>
      </w:pPr>
      <w:r>
        <w:rPr>
          <w:rFonts w:ascii="Calibri" w:cs="Calibri" w:eastAsia="Calibri" w:hAnsi="Calibri"/>
          <w:sz w:val="22"/>
          <w:szCs w:val="22"/>
        </w:rPr>
        <w:t xml:space="preserve">Belkhiter, Y., Zizzo, G., Maffeis, S. HarmLevelBench: Evaluating Harm-Level Compliance and the Impact of Quantization on Model Alignment. arXiv:2411.06835, 2024.</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282 automated tests across twenty-two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and attn_implementation threading (injected only when set, omitted otherwise).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tolerance, stale-text/redaction scans, agent-start packet.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and the configs/tc1_int8.yaml sweep config.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and graded/cliff/non-monotonic shape classification, plus graceful INT8-pending handling.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Twenty-two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(282 tests across 22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FYP_Report_2026-06-14.docx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282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2026-06-15T12:50:17.281Z</dcterms:created>
  <dcterms:modified xsi:type="dcterms:W3CDTF">2026-06-15T12:50:17.281Z</dcterms:modified>
</cp:coreProperties>
</file>

<file path=docProps/custom.xml><?xml version="1.0" encoding="utf-8"?>
<Properties xmlns="http://schemas.openxmlformats.org/officeDocument/2006/custom-properties" xmlns:vt="http://schemas.openxmlformats.org/officeDocument/2006/docPropsVTypes"/>
</file>