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360"/>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and a completed blinded human audit now weights that judge over the regex, so the decrease is most plausibly a regex measurement artifact,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 small noise around zero, far below the 0.06 detection floor.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 A validation-informed parallel correction — the identical twenty-contrast family with the five over-refusal contrasts scored by the independent judge under its strict mapping, composition locked in a dated note before computation (docs/VALIDATION_INFORMED_FAMILY_NOTE.md; results_512/analysis/multiple_comparisons_judge_strict.json) — leaves two contrasts surviving, both capability effects (Qwen3-1.7B MMLU, q = 0.008; Llama-3B ARC, q = 0.008); it is purely deflationary, and the registered regex-scored family above remains the family of record.</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completed 200-item blinded human audit (single annotator, disagreement-enriched draw, pre-registered read-off: Outcome J)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[18], revision-pinned) across all fifteen aliases — Cohen’s κ 0.36–0.92 against the classifier over the ten base/NF4 aliases, every per-pair ΔASR non-significant; a reproducibility cross-check of a looser “is this response unsafe?” construct, not a second construct-validity oracle —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2026-07-19T03:39:54.469Z</dcterms:created>
  <dcterms:modified xsi:type="dcterms:W3CDTF">2026-07-19T03:39:54.470Z</dcterms:modified>
</cp:coreProperties>
</file>

<file path=docProps/custom.xml><?xml version="1.0" encoding="utf-8"?>
<Properties xmlns="http://schemas.openxmlformats.org/officeDocument/2006/custom-properties" xmlns:vt="http://schemas.openxmlformats.org/officeDocument/2006/docPropsVTypes"/>
</file>