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(Outcome J).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and every quantity involved is below the study's minimum detectable effect (≈0.06, §6.5), so the greedy-versus-stochastic discrepancy is small noise around zero, not a stochastic effect the greedy run missed;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pre-registered read-off (docs/XSTEST_GOLD_PREREG.md, locked with a J/R/T/X outcome matrix before any label existed) is Outcome J: the judge aligns substantially better with the annotator than the regex, at strict-mapping Cohen's κ 0.485 versus −0.006 and broad-mapping 0.662 versus 0.054, and the two failure modes are asymmetric in kind.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pre-registered Outcome-J action,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Outcome J),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pre-registered Outcome J: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(pre-registered Outcome J)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fully reproducible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2026-07-19T03:37:48.023Z</dcterms:created>
  <dcterms:modified xsi:type="dcterms:W3CDTF">2026-07-19T03:37:48.023Z</dcterms:modified>
</cp:coreProperties>
</file>

<file path=docProps/custom.xml><?xml version="1.0" encoding="utf-8"?>
<Properties xmlns="http://schemas.openxmlformats.org/officeDocument/2006/custom-properties" xmlns:vt="http://schemas.openxmlformats.org/officeDocument/2006/docPropsVTypes"/>
</file>