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(Outcome J),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and every quantity involved is below the study's minimum detectable effect (≈0.06, §6.5), so the greedy–stochastic discrepancy is small noise around zero, not a stochastic effect the greedy run missed;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pre-registered read-off (docs/XSTEST_GOLD_PREREG.md, locked with a J/R/T/X outcome matrix before any label existed) is Outcome J: the judge aligns substantially better with the annotator than the regex — strict-mapping Cohen's κ 0.485 versus −0.006, broad-mapping 0.662 versus 0.054 — and the two failure modes are asymmetric in kind.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pre-registered Outcome-J action,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Outcome J),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pre-registered Outcome J: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(pre-registered Outcome J)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fully reproducible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2026-07-19T03:37:47.541Z</dcterms:created>
  <dcterms:modified xsi:type="dcterms:W3CDTF">2026-07-19T03:37:47.542Z</dcterms:modified>
</cp:coreProperties>
</file>

<file path=docProps/custom.xml><?xml version="1.0" encoding="utf-8"?>
<Properties xmlns="http://schemas.openxmlformats.org/officeDocument/2006/custom-properties" xmlns:vt="http://schemas.openxmlformats.org/officeDocument/2006/docPropsVTypes"/>
</file>