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strictly contains the classifier's),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and a power analysis converge independently on the same capability-driven reading.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DecodingTrust [2], and SafetyBench [3]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and AdvBench provide curated unsafe prompts and measure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[18]. Safety-specific studies make the point directly. Kharinaev et al. [14] evaluate 66 quantized variants across multiple post-training and quantization-aware methods and find that quantization can degrade safety alignment, with no single method dominating across models and bit-widths. Egashira et al. [16] show that widely used BitsAndBytes schemes, including NF4, can be manipulated so that a benign full-precision model becomes harmful once quantized. HarmLevelBench [17]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and Phi-4-mini-instruct)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[24]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two over-refusal decreases, Qwen3-1.7B (−0.028) and Phi-4-mini (−0.044).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Four of the five XSTest over-refusal deltas are non-significant or negative, and the two significant ones are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at the 512-token reference budget, the deltas whose bootstrap CI excludes zero (★) are Llama-3.2-3B ΔASR (−0.040, a decrease; McNemar p = 0.021 — the only significant ΔASR, and no pair shows a significant increase), Qwen3-1.7B ΔMMLU (−0.090), and the two over-refusal decreases Qwen3-1.7B (−0.028) and Phi-4-mini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deltas are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[23]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significantly (0.056 → 0.028, ΔOR = −0.028, significant).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the model publisher's recommended non-thinking setting (temperature 0.7, top-p 0.8)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(1/5 seeds significant, a directional non-null), and Llama has mean −0.024 with no positive seed (0/5), matching its significant safety-improving primary decrease. Across all three pairs no pair is robustly positive. Results are written to results_512/analysis/sensitivity_multiseed.json;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two over-refusal decreases, Qwen 1.7B (−0.028) and Phi-4-mini (−0.044).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three show no significant change in over-refusal and two move in the benign direction. Under the v2 scorer: Qwen3-1.7B ΔOR = −0.028 (0.056 → 0.028, significant), Qwen3-4B 0.000 (0.032 → 0.032, not significant), Llama 3B +0.016 (0.036 → 0.052, not significant), Mistral-7B +0.004 (0.004 → 0.008, not significant), and Phi-4-mini −0.044 (0.128 → 0.084, significant). The two significant over-refusal deltas (Qwen 1.7B and Phi)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two significant moves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two significant deltas are decreases).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significant)), and the two significant moves, Qwen3-1.7B (−0.028) and Phi-4-mini (−0.044),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two significant moves are reductions in false refusals (Qwen 1.7B and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Every point lies below the diagonal, so the proxy systematically over-counts harmful compliance (most severely for Qwen and Mistral). Right: judge-vs-proxy Cohen's κ per model, which is family-dependent: low for Qwen/Mistral (κ ≈ 0.25–0.41)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 for Qwen and Mistral (κ ≈ 0.25–0.41)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[20], [21]. Two further residual caveats: the second judge is a versioned API model (less reproducible than the open-weight primary), and both judges share the broad lineage of LLM-based harm classification, so a fully independent open-weight guard (e.g. Llama Guard [22])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[18],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truncation-budget artefact of the same kind that inflated the Qwen-1.7B NF4 move (§6.16),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 artefact of that pair's truncated generations rather than a method-specific "INT8 erodes safety" effect.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here depending on model size, family, and harm category,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and Egashira et al.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[19])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arXiv:2411.06835, 2024.</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builder is asserted against the committed analysis artifacts (43 checks); the report cannot drift from its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e6ebf378724910129ec7d4753b17807a2e4cdc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2026-07-02T16:19:02.982Z</dcterms:created>
  <dcterms:modified xsi:type="dcterms:W3CDTF">2026-07-02T16:19:02.983Z</dcterms:modified>
</cp:coreProperties>
</file>

<file path=docProps/custom.xml><?xml version="1.0" encoding="utf-8"?>
<Properties xmlns="http://schemas.openxmlformats.org/officeDocument/2006/custom-properties" xmlns:vt="http://schemas.openxmlformats.org/officeDocument/2006/docPropsVTypes"/>
</file>