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24 May 2026</w:t>
      </w:r>
    </w:p>
    <w:p>
      <w:pPr>
        <w:jc w:val="center"/>
      </w:pPr>
      <w:r>
        <w:rPr>
          <w:rFonts w:ascii="Calibri" w:cs="Calibri" w:eastAsia="Calibri" w:hAnsi="Calibri"/>
          <w:i/>
          <w:iCs/>
          <w:color w:val="555555"/>
          <w:sz w:val="20"/>
          <w:szCs w:val="20"/>
        </w:rPr>
        <w:t xml:space="preserve">Revision: incorporates TC1 user-guide policy review</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Qwen3.5-text-2B, Qwen3.5-text-4B,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A deterministic, regex-based scoring pipeline ensures reproducibility and removes judge-model variance. Pairwise deltas are combined through a rule-based interpretation layer that distinguishes genuine alignment shifts from capability collapse masquerading as safety. The benchmarking framework, three benchmark plugins, cluster job orchestration for the NTU TC1 GPU cluster, and a verification suite of 122 tests are complete; experimental runs are pending submission. This document records the full design, implementation, intended analysis, and limitations of the study.</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reporting schema.</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four diagnostic labels: alignment degradation,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122 automated tests across twelve test files, covering schema validation, dataset loaders, the refusal parser, SLURM job generation, matrix reuse behaviour, and analysis logic.</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intended results and analysis plan; experimental runs are pending and will populate this chapter in the final report.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two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techwithsergiu/Qwen3.5-text-2B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techwithsergiu/Qwen3.5-text-2B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techwithsergiu/Qwen3.5-text-4B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techwithsergiu/Qwen3.5-text-4B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four rule-based interpretation labels. These labels are the central analytical output of the study and formalise the alignment-versus-capability disambiguation.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ΔMMLU ≈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weakens refusal behaviour without affecting capability — a true alignment shift.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and over-refusal;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small in magnitude</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preserves both safety and capability — the desired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degrades the model along all measured axes.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122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the per-prompt schema validator, the resume-helper functions, the refusal-parser regex correctness, and the SLURM job generator including the per-benchmark and per-model grouping modes. All 122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user-level concurrency is capped at two simultaneous jobs by the MaxJobsPU policy.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(concurrent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122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checkpoints under the techwithsergiu namespace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 2B, Qwen 4B, Llama 3.2 3B). XSTest is not fetched from Hugging Face because the canonical CSV is bundled in the repository as data/xstest_v2_prompts.csv. The observed TC1 pre-cache completed successfully on 2026-05-26 at 22:40 UTC+8, caching approximately 25.5 GB in ~/.cache/huggingface/hub: Llama 3.2 3B (12.9 GB), Qwen 2B (3.92 GB), and Qwen 4B (8.68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fifteen-minute walltime, qwen_2b_base on HarmBench) to verify that the offline-cache path works end-to-end on a real compute node. Per the user guide's guidance to prefer sbatch over srun, this smoke verification is performed as a regular SLURM job rather than an interactive session. Only after the smoke job produces a clean summary.json is the full six-job matrix submitted.</w:t>
      </w:r>
    </w:p>
    <w:p>
      <w:pPr>
        <w:spacing w:after="160" w:line="300"/>
        <w:jc w:val="both"/>
      </w:pPr>
      <w:r>
        <w:rPr>
          <w:rFonts w:ascii="Calibri" w:cs="Calibri" w:eastAsia="Calibri" w:hAnsi="Calibri"/>
          <w:sz w:val="22"/>
          <w:szCs w:val="22"/>
        </w:rPr>
        <w:t xml:space="preserve">With MaxJobsPU=2 enforced by the cluster policy, the six jobs are processed in three sequential pairs in the worst case, yielding an expected end-to-end wall time of approximately one to two days assuming each job completes well within the six-hour budget. The six-hour walltime is intentionally generous; smoke profiling on local hardware suggests that the per-model matrix is likely to complete in two to four hours on a single Tesla V100 32 GB at the configured sample budgets, leaving substantial headroom for unexpected slowdowns.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Intended Results and Analysis Plan</w:t>
      </w:r>
    </w:p>
    <w:p>
      <w:pPr>
        <w:spacing w:after="160" w:line="300"/>
        <w:jc w:val="both"/>
      </w:pPr>
      <w:r>
        <w:rPr>
          <w:rFonts w:ascii="Calibri" w:cs="Calibri" w:eastAsia="Calibri" w:hAnsi="Calibri"/>
          <w:sz w:val="22"/>
          <w:szCs w:val="22"/>
        </w:rPr>
        <w:t xml:space="preserve">Experimental runs are pending submission on TC1 at the time of this interim report. This chapter documents the analysis plan and the structure into which the results will be slotted once the runs complete.</w:t>
      </w:r>
    </w:p>
    <w:p>
      <w:pPr>
        <w:pStyle w:val="Heading2"/>
        <w:spacing w:after="140" w:before="280"/>
      </w:pPr>
      <w:r>
        <w:rPr>
          <w:rFonts w:ascii="Calibri" w:cs="Calibri" w:eastAsia="Calibri" w:hAnsi="Calibri"/>
          <w:b/>
          <w:bCs/>
          <w:sz w:val="26"/>
          <w:szCs w:val="26"/>
        </w:rPr>
        <w:t xml:space="preserve">6.1 Reporting Schema</w:t>
      </w:r>
    </w:p>
    <w:p>
      <w:pPr>
        <w:spacing w:after="160" w:line="300"/>
        <w:jc w:val="both"/>
      </w:pPr>
      <w:r>
        <w:rPr>
          <w:rFonts w:ascii="Calibri" w:cs="Calibri" w:eastAsia="Calibri" w:hAnsi="Calibri"/>
          <w:sz w:val="22"/>
          <w:szCs w:val="22"/>
        </w:rPr>
        <w:t xml:space="preserve">For each of the three pairs, the final report will present a single results table summarising baseline and four-bit metric values, their absolute and relative deltas, and the interpretation label. The schema is shown in Table 6.1.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600"/>
        <w:gridCol w:w="1900"/>
        <w:gridCol w:w="1700"/>
        <w:gridCol w:w="1700"/>
        <w:gridCol w:w="1230"/>
        <w:gridCol w:w="1230"/>
      </w:tblGrid>
      <w:tr>
        <w:trPr>
          <w:tblHeader/>
        </w:trPr>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 (95% CI)</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 (95% CI)</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ΔAbsolute</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ΔRelative</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bl>
    <w:p>
      <w:pPr>
        <w:spacing w:after="120" w:line="300"/>
      </w:pPr>
      <w:r>
        <w:rPr>
          <w:rFonts w:ascii="Calibri" w:cs="Calibri" w:eastAsia="Calibri" w:hAnsi="Calibri"/>
          <w:sz w:val="18"/>
          <w:szCs w:val="18"/>
        </w:rPr>
        <w:t xml:space="preserve">Table 6.1  Per-pair reporting schema. The (pending) cells will be populated by the TC1 runs.</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The within-family scale analysis will compare the three deltas (ΔASR, Δover-refusal, ΔMMLU) computed for the qwen_2b pair against those computed for the qwen_4b pair. Two specific patterns are expected to be observable. If the smaller model is more sensitive to compression, the absolute magnitude of its deltas should be systematically larger across the three axes. If the deltas are comparable, the conclusion will be that within this regime (two to four billion parameters), quantization effects are scale-invariant.</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across all three benchmarks?) and approximate magnitude (are the Llama deltas similar in scale, smaller, or larger?). Because the two families differ in tokenizer, training data, and alignment recipe, this comparison is descriptive: it can rule out or support cross-family generalisation of the within-Qwen findings but cannot make strong causal claims about quantization-family interactions.</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Four canonical outcomes are tracked:</w:t>
      </w:r>
    </w:p>
    <w:p>
      <w:pPr>
        <w:pStyle w:val="ListParagraph"/>
        <w:numPr>
          <w:ilvl w:val="0"/>
          <w:numId w:val="2"/>
        </w:numPr>
        <w:spacing w:after="80" w:line="280"/>
      </w:pPr>
      <w:r>
        <w:rPr>
          <w:rFonts w:ascii="Calibri" w:cs="Calibri" w:eastAsia="Calibri" w:hAnsi="Calibri"/>
          <w:sz w:val="22"/>
          <w:szCs w:val="22"/>
        </w:rPr>
        <w:t xml:space="preserve">Alignment shift: capability is preserved, but refusal calibration moves (either HarmBench ASR rises or XSTest over-refusal rises or both).</w:t>
      </w:r>
    </w:p>
    <w:p>
      <w:pPr>
        <w:pStyle w:val="ListParagraph"/>
        <w:numPr>
          <w:ilvl w:val="0"/>
          <w:numId w:val="2"/>
        </w:numPr>
        <w:spacing w:after="80" w:line="280"/>
      </w:pPr>
      <w:r>
        <w:rPr>
          <w:rFonts w:ascii="Calibri" w:cs="Calibri" w:eastAsia="Calibri" w:hAnsi="Calibri"/>
          <w:sz w:val="22"/>
          <w:szCs w:val="22"/>
        </w:rPr>
        <w:t xml:space="preserve">Capability-driven safety artifact: MMLU drops noticeably, and the safety metrics also move; the safety movement is attributed to capability collapse rather than to an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w:t>
      </w:r>
    </w:p>
    <w:p>
      <w:pPr>
        <w:pStyle w:val="ListParagraph"/>
        <w:numPr>
          <w:ilvl w:val="0"/>
          <w:numId w:val="2"/>
        </w:numPr>
        <w:spacing w:after="80" w:line="280"/>
      </w:pPr>
      <w:r>
        <w:rPr>
          <w:rFonts w:ascii="Calibri" w:cs="Calibri" w:eastAsia="Calibri" w:hAnsi="Calibri"/>
          <w:sz w:val="22"/>
          <w:szCs w:val="22"/>
        </w:rPr>
        <w:t xml:space="preserve">Broad degradation: capability and both safety metrics worsen simultaneously.</w:t>
      </w:r>
    </w:p>
    <w:p>
      <w:pPr>
        <w:spacing w:after="160" w:line="300"/>
        <w:jc w:val="both"/>
      </w:pPr>
      <w:r>
        <w:rPr>
          <w:rFonts w:ascii="Calibri" w:cs="Calibri" w:eastAsia="Calibri" w:hAnsi="Calibri"/>
          <w:sz w:val="22"/>
          <w:szCs w:val="22"/>
        </w:rPr>
        <w:t xml:space="preserve">This decomposition is the principal mechanism through which the study addresses the central research question.</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eventual results. First, with 400 samples per safety benchmark, the bootstrap 95% confidence interval on a binomial-proportion metric such as ASR is approximately ±5 percentage points; small deltas may not be statistically distinguishable from zero. Second, decoding is deterministic at temperature 0.0, so the only source of variance reflected in the confidence intervals is prompt sampling — there is no within-condition stochastic variance. Third, the MMLU subset comprises 300 questions distributed across six subjects; subject-level accuracy estimates are correspondingly noisy and are not reported as primary statistics. A planned future-work item proposes re-running a subset of pairs at temperature 0.7 with multiple seeds to provide an independent estimate of stochastic variance.</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techwithsergiu Qwen baselines are text-only derivatives of a multimodal Qwen series produced by removing the visual tower. Results therefore describe quantization behaviour on that specific weight provenance and may not transfer perfectly to the official Qwen 2.5 or Qwen 3 instruction checkpoints that are more commonly deployed in production.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The Future Work chapter proposes a sensitivity check in which a subset of responses is independently scored by a judge LLM and the resulting rates are compared against the deterministic parser as an additional validity check.</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a stratified sample of responses with an independent judge LLM (or an ensemble) and compare the resulting refusal rates against the deterministic parser's estimates.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full SLURM orchestration for the NTU TC1 cluster with resumable per-model matrix jobs, and a verification suite of 122 automated tests. The analytical contribution is the interpretation layer itself, which formalises the alignment-versus-capability disambiguation as a rule-based decision procedure over combined safety and capability deltas.</w:t>
      </w:r>
    </w:p>
    <w:p>
      <w:pPr>
        <w:spacing w:after="160" w:line="300"/>
        <w:jc w:val="both"/>
      </w:pPr>
      <w:r>
        <w:rPr>
          <w:rFonts w:ascii="Calibri" w:cs="Calibri" w:eastAsia="Calibri" w:hAnsi="Calibri"/>
          <w:sz w:val="22"/>
          <w:szCs w:val="22"/>
        </w:rPr>
        <w:t xml:space="preserve">The framework is complete, validated, and ready for cluster execution. Three pairs (Qwen 2B, Qwen 4B, and Llama 3.2 3B) are configured, six sbatch files have been generated, Hugging Face gated access has been verified, and all required datasets and model weights have been pre-cached on TC1. The next operational step is a short smoke sbatch to validate offline GPU execution before submitting the full six-job matrix. The expected output is a set of pairwise deltas and interpretation labels that directly answer the five research questions, and a documented empirical baseline for future quantization-safety work in the compact-model regime.</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2.0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techwithsergiu/Qwen3.5-text-2B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2.0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techwithsergiu/Qwen3.5-text-2B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techwithsergiu/Qwen3.5-text-4B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techwithsergiu/Qwen3.5-text-4B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122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and interpretation labels.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regex correctness on representative responses.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(122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2026-05-26T17:43:00.311Z</dcterms:created>
  <dcterms:modified xsi:type="dcterms:W3CDTF">2026-05-26T17:43:00.312Z</dcterms:modified>
</cp:coreProperties>
</file>

<file path=docProps/custom.xml><?xml version="1.0" encoding="utf-8"?>
<Properties xmlns="http://schemas.openxmlformats.org/officeDocument/2006/custom-properties" xmlns:vt="http://schemas.openxmlformats.org/officeDocument/2006/docPropsVTypes"/>
</file>