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Study of Safety–Capability Trade-offs in 4-bit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24 May 2026</w:t>
      </w:r>
    </w:p>
    <w:p>
      <w:pPr>
        <w:jc w:val="center"/>
      </w:pPr>
      <w:r>
        <w:rPr>
          <w:rFonts w:ascii="Calibri" w:cs="Calibri" w:eastAsia="Calibri" w:hAnsi="Calibri"/>
          <w:i/>
          <w:iCs/>
          <w:color w:val="555555"/>
          <w:sz w:val="20"/>
          <w:szCs w:val="20"/>
        </w:rPr>
        <w:t xml:space="preserve">Revision: incorporates TC1 user-guide policy review</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in the one-to-four-billion-parameter range are increasingly deployed on edge devices and consumer hardware, where four-bit quantization has become the de facto compression method for fitting them into available memory. However, quantization is not behaviourally neutral: emerging evidence suggests it can alter safety alignment, refusal calibration, and general capability in non-trivial ways. Existing large-scale ethical benchmarking efforts, such as TrustLLM, DecodingTrust, and SafetyBench, primarily evaluate full-precision mid-to-large models and do not systematically address how compression interacts with safety in the compact-deployment regime.</w:t>
      </w:r>
    </w:p>
    <w:p>
      <w:pPr>
        <w:spacing w:after="160" w:line="300"/>
        <w:jc w:val="both"/>
      </w:pPr>
      <w:r>
        <w:rPr>
          <w:rFonts w:ascii="Calibri" w:cs="Calibri" w:eastAsia="Calibri" w:hAnsi="Calibri"/>
          <w:sz w:val="22"/>
          <w:szCs w:val="22"/>
        </w:rPr>
        <w:t xml:space="preserve">This work designs and implements a research-grade benchmarking framework to study safety–capability trade-offs in four-bit quantized compact language models. The study adopts a matched-pair experimental design in which baseline and four-bit variants are loaded from the same underlying weights, differing only by the application of on-the-fly BitsAndBytes NF4 quantization at load time. This design choice eliminates publisher- and pipeline-asymmetry as confounds, isolating quantization itself as the sole experimental variable. Three model pairs are evaluated: Qwen3.5-text-2B, Qwen3.5-text-4B, and Llama-3.2-3B-Instruct as a cross-family robustness check.</w:t>
      </w:r>
    </w:p>
    <w:p>
      <w:pPr>
        <w:spacing w:after="160" w:line="300"/>
        <w:jc w:val="both"/>
      </w:pPr>
      <w:r>
        <w:rPr>
          <w:rFonts w:ascii="Calibri" w:cs="Calibri" w:eastAsia="Calibri" w:hAnsi="Calibri"/>
          <w:sz w:val="22"/>
          <w:szCs w:val="22"/>
        </w:rPr>
        <w:t xml:space="preserve">Each pair is scored on three complementary benchmarks: HarmBench (harmful compliance, measured as Attack Success Rate), XSTest (over-refusal on benign prompts), and a curated MMLU subset (general capability). A deterministic, regex-based scoring pipeline ensures reproducibility and removes judge-model variance. Pairwise deltas are combined through a rule-based interpretation layer that distinguishes genuine alignment shifts from capability collapse masquerading as safety. The benchmarking framework, three benchmark plugins, cluster job orchestration for the NTU TC1 GPU cluster, and a verification suite of 122 tests are complete; experimental runs are pending submission. This document records the full design, implementation, intended analysis, and limitations of the study.</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reporting schema.</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 2B and Qwen 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study evaluates a single quantization path: BitsAndBytes NF4 four-bit loading applied on the fly via the Hugging Face transformers integration. Alternative methods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span experimental design, software engineering, and analytical methodology.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NF4 quantization is applied during the from_pretrained call. This eliminates publisher-asymmetry and conversion-pipeline asymmetry —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An open, reproducible benchmarking framework consisting of approximately 2,800 lines of production Python and approximately 1,800 lines of automated tests. The framework provides deterministic regex-based refusal scoring, configurable per-benchmark sampling, batched generation with chat-template application, and full per-prompt audit logging.</w:t>
      </w:r>
    </w:p>
    <w:p>
      <w:pPr>
        <w:pStyle w:val="ListParagraph"/>
        <w:numPr>
          <w:ilvl w:val="0"/>
          <w:numId w:val="3"/>
        </w:numPr>
        <w:spacing w:after="80" w:line="280"/>
      </w:pPr>
      <w:r>
        <w:rPr>
          <w:rFonts w:ascii="Calibri" w:cs="Calibri" w:eastAsia="Calibri" w:hAnsi="Calibri"/>
          <w:sz w:val="22"/>
          <w:szCs w:val="22"/>
        </w:rPr>
        <w:t xml:space="preserve">A rule-based interpretation layer that combines harmful-compliance, over-refusal, and capability deltas into one of four diagnostic labels: alignment degradation, capability collapse masquerading as safety, robust preservation, or broad degradation. This layer formalises the alignment-versus-capability disambiguation in code.</w:t>
      </w:r>
    </w:p>
    <w:p>
      <w:pPr>
        <w:pStyle w:val="ListParagraph"/>
        <w:numPr>
          <w:ilvl w:val="0"/>
          <w:numId w:val="3"/>
        </w:numPr>
        <w:spacing w:after="80" w:line="280"/>
      </w:pPr>
      <w:r>
        <w:rPr>
          <w:rFonts w:ascii="Calibri" w:cs="Calibri" w:eastAsia="Calibri" w:hAnsi="Calibri"/>
          <w:sz w:val="22"/>
          <w:szCs w:val="22"/>
        </w:rPr>
        <w:t xml:space="preserve">SLURM cluster orchestration for the NTU TC1 GPU cluster, including resumable per-model matrix jobs that load each model only once and execute all three benchmarks sequentially. Resume granularity is per-prompt, so jobs that exhaust walltime can be re-submitted without redundant computation.</w:t>
      </w:r>
    </w:p>
    <w:p>
      <w:pPr>
        <w:pStyle w:val="ListParagraph"/>
        <w:numPr>
          <w:ilvl w:val="0"/>
          <w:numId w:val="3"/>
        </w:numPr>
        <w:spacing w:after="80" w:line="280"/>
      </w:pPr>
      <w:r>
        <w:rPr>
          <w:rFonts w:ascii="Calibri" w:cs="Calibri" w:eastAsia="Calibri" w:hAnsi="Calibri"/>
          <w:sz w:val="22"/>
          <w:szCs w:val="22"/>
        </w:rPr>
        <w:t xml:space="preserve">A verification suite of 122 automated tests across twelve test files, covering schema validation, dataset loaders, the refusal parser, SLURM job generation, matrix reuse behaviour, and analysis logic.</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intended results and analysis plan; experimental runs are pending and will populate this chapter in the final report.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DecodingTrust, and SafetyBench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and AdvBench provide curated unsafe prompts and measure attack success rate — the fraction of unsafe prompts to which the model produces a harmful, complying response. XSTest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the Massive Multitask Language Understanding benchmark, has become the de facto general-capability anchor in safety studies.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accompanying BitsAndBytes library integrates directly with Hugging Face transformers, exposing four-bit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Safety-specific studies have flagged that PTQ can degrade alignment behaviour, and an emerging line of research proposes safety-preserving quantization methods explicitly designed to mitigate these effects. Importantly, most existing quantization studies evaluate either perplexity or general capability, with safety considered (if at all) as a separate axis rather than jointly with capability.</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 2B, Qwen 4B, and Llama 3.2 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two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techwithsergiu/Qwen3.5-text-2B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techwithsergiu/Qwen3.5-text-2B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Three benchmarks are used. Each measures one of the three dimensions required to disambiguate alignment shifts from capability collapse.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general-capability anchor.</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Deterministic Refusal Detection</w:t>
      </w:r>
    </w:p>
    <w:p>
      <w:pPr>
        <w:spacing w:after="160" w:line="300"/>
        <w:jc w:val="both"/>
      </w:pPr>
      <w:r>
        <w:rPr>
          <w:rFonts w:ascii="Calibri" w:cs="Calibri" w:eastAsia="Calibri" w:hAnsi="Calibri"/>
          <w:sz w:val="22"/>
          <w:szCs w:val="22"/>
        </w:rPr>
        <w:t xml:space="preserve">All refusal scoring is performed by deterministic regex-based pattern matching rather than by a separate judge LLM. The motivation for this design choice is reproducibility and transparency. Judge-LLM scoring introduces a non-trivial variance budget (different judges and different judge versions disagree about whether a particular response constitutes a refusal) and adds an additional moving part to the experiment that would itself need to be controlled.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explicitly acknowledged in the Limitations chapter and motivates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four rule-based interpretation labels. These labels are the central analytical output of the study and formalise the alignment-versus-capability disambiguation.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&gt; 0  AND  ΔMMLU ≈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weakens refusal behaviour without affecting capability — a true alignment shift.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  AND  ΔOverRefusal &gt; 0  AND  ΔMMLU &lt;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and over-refusal;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three deltas small in magnitude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preserves both safety and capability — the desired outcome.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&gt; 0  AND  ΔOverRefusal &gt; 0  AND  ΔMMLU &lt;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degrades the model along all measured axes.</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(eighteen scripts for the six-model, three-benchmark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122 automated tests across twelve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the per-prompt schema validator, the resume-helper functions, the refusal-parser regex correctness, and the SLURM job generator including the per-benchmark and per-model grouping modes. All 122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user-level concurrency is capped at two simultaneous jobs by the MaxJobsPU policy.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(concurrent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122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checkpoints under the techwithsergiu namespace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and three model repositories (Qwen 2B, Qwen 4B, Llama 3.2 3B). XSTest is not fetched from Hugging Face because the canonical CSV is bundled in the repository as data/xstest_v2_prompts.csv. The observed TC1 pre-cache completed successfully on 2026-05-26 at 22:40 UTC+8, caching approximately 25.5 GB in ~/.cache/huggingface/hub: Llama 3.2 3B (12.9 GB), Qwen 2B (3.92 GB), and Qwen 4B (8.68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three-benchmark suite for its model with the model loaded only once, exploiting the matrix runner's reuse_loaded_model=True default.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fifteen-minute walltime, qwen_2b_base on HarmBench) to verify that the offline-cache path works end-to-end on a real compute node. Per the user guide's guidance to prefer sbatch over srun, this smoke verification is performed as a regular SLURM job rather than an interactive session. Only after the smoke job produces a clean summary.json is the full six-job matrix submitted.</w:t>
      </w:r>
    </w:p>
    <w:p>
      <w:pPr>
        <w:spacing w:after="160" w:line="300"/>
        <w:jc w:val="both"/>
      </w:pPr>
      <w:r>
        <w:rPr>
          <w:rFonts w:ascii="Calibri" w:cs="Calibri" w:eastAsia="Calibri" w:hAnsi="Calibri"/>
          <w:sz w:val="22"/>
          <w:szCs w:val="22"/>
        </w:rPr>
        <w:t xml:space="preserve">With MaxJobsPU=2 enforced by the cluster policy, the six jobs are processed in three sequential pairs in the worst case, yielding an expected end-to-end wall time of approximately one to two days assuming each job completes well within the six-hour budget. The six-hour walltime is intentionally generous; smoke profiling on local hardware suggests that the per-model matrix is likely to complete in two to four hours on a single Tesla V100 32 GB at the configured sample budgets, leaving substantial headroom for unexpected slowdowns.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Intended Results and Analysis Plan</w:t>
      </w:r>
    </w:p>
    <w:p>
      <w:pPr>
        <w:spacing w:after="160" w:line="300"/>
        <w:jc w:val="both"/>
      </w:pPr>
      <w:r>
        <w:rPr>
          <w:rFonts w:ascii="Calibri" w:cs="Calibri" w:eastAsia="Calibri" w:hAnsi="Calibri"/>
          <w:sz w:val="22"/>
          <w:szCs w:val="22"/>
        </w:rPr>
        <w:t xml:space="preserve">Experimental runs are pending submission on TC1 at the time of this interim report. This chapter documents the analysis plan and the structure into which the results will be slotted once the runs complete.</w:t>
      </w:r>
    </w:p>
    <w:p>
      <w:pPr>
        <w:pStyle w:val="Heading2"/>
        <w:spacing w:after="140" w:before="280"/>
      </w:pPr>
      <w:r>
        <w:rPr>
          <w:rFonts w:ascii="Calibri" w:cs="Calibri" w:eastAsia="Calibri" w:hAnsi="Calibri"/>
          <w:b/>
          <w:bCs/>
          <w:sz w:val="26"/>
          <w:szCs w:val="26"/>
        </w:rPr>
        <w:t xml:space="preserve">6.1 Reporting Schema</w:t>
      </w:r>
    </w:p>
    <w:p>
      <w:pPr>
        <w:spacing w:after="160" w:line="300"/>
        <w:jc w:val="both"/>
      </w:pPr>
      <w:r>
        <w:rPr>
          <w:rFonts w:ascii="Calibri" w:cs="Calibri" w:eastAsia="Calibri" w:hAnsi="Calibri"/>
          <w:sz w:val="22"/>
          <w:szCs w:val="22"/>
        </w:rPr>
        <w:t xml:space="preserve">For each of the three pairs, the final report will present a single results table summarising baseline and four-bit metric values, their absolute and relative deltas, and the interpretation label. The schema is shown in Table 6.1.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1900"/>
        <w:gridCol w:w="1700"/>
        <w:gridCol w:w="1700"/>
        <w:gridCol w:w="1230"/>
        <w:gridCol w:w="1230"/>
      </w:tblGrid>
      <w:tr>
        <w:trPr>
          <w:tblHeader/>
        </w:trPr>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 (95% CI)</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 (95% CI)</w:t>
            </w:r>
          </w:p>
        </w:tc>
        <w:tc>
          <w:tcPr>
            <w:tcW w:type="dxa" w:w="12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ΔAbsolute</w:t>
            </w:r>
          </w:p>
        </w:tc>
        <w:tc>
          <w:tcPr>
            <w:tcW w:type="dxa" w:w="12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ΔRelative</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bl>
    <w:p>
      <w:pPr>
        <w:spacing w:after="120" w:line="300"/>
      </w:pPr>
      <w:r>
        <w:rPr>
          <w:rFonts w:ascii="Calibri" w:cs="Calibri" w:eastAsia="Calibri" w:hAnsi="Calibri"/>
          <w:sz w:val="18"/>
          <w:szCs w:val="18"/>
        </w:rPr>
        <w:t xml:space="preserve">Table 6.1  Per-pair reporting schema. The (pending) cells will be populated by the TC1 runs.</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The within-family scale analysis will compare the three deltas (ΔASR, Δover-refusal, ΔMMLU) computed for the qwen_2b pair against those computed for the qwen_4b pair. Two specific patterns are expected to be observable. If the smaller model is more sensitive to compression, the absolute magnitude of its deltas should be systematically larger across the three axes. If the deltas are comparable, the conclusion will be that within this regime (two to four billion parameters), quantization effects are scale-invariant.</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across all three benchmarks?) and approximate magnitude (are the Llama deltas similar in scale, smaller, or larger?). Because the two families differ in tokenizer, training data, and alignment recipe, this comparison is descriptive: it can rule out or support cross-family generalisation of the within-Qwen findings but cannot make strong causal claims about quantization-family interactions.</w:t>
      </w:r>
    </w:p>
    <w:p>
      <w:pPr>
        <w:pStyle w:val="Heading2"/>
        <w:spacing w:after="140" w:before="280"/>
      </w:pPr>
      <w:r>
        <w:rPr>
          <w:rFonts w:ascii="Calibri" w:cs="Calibri" w:eastAsia="Calibri" w:hAnsi="Calibri"/>
          <w:b/>
          <w:bCs/>
          <w:sz w:val="26"/>
          <w:szCs w:val="26"/>
        </w:rPr>
        <w:t xml:space="preserve">6.4 Capability Anchoring</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Four canonical outcomes are tracked:</w:t>
      </w:r>
    </w:p>
    <w:p>
      <w:pPr>
        <w:pStyle w:val="ListParagraph"/>
        <w:numPr>
          <w:ilvl w:val="0"/>
          <w:numId w:val="2"/>
        </w:numPr>
        <w:spacing w:after="80" w:line="280"/>
      </w:pPr>
      <w:r>
        <w:rPr>
          <w:rFonts w:ascii="Calibri" w:cs="Calibri" w:eastAsia="Calibri" w:hAnsi="Calibri"/>
          <w:sz w:val="22"/>
          <w:szCs w:val="22"/>
        </w:rPr>
        <w:t xml:space="preserve">Alignment shift: capability is preserved, but refusal calibration moves (either HarmBench ASR rises or XSTest over-refusal rises or both).</w:t>
      </w:r>
    </w:p>
    <w:p>
      <w:pPr>
        <w:pStyle w:val="ListParagraph"/>
        <w:numPr>
          <w:ilvl w:val="0"/>
          <w:numId w:val="2"/>
        </w:numPr>
        <w:spacing w:after="80" w:line="280"/>
      </w:pPr>
      <w:r>
        <w:rPr>
          <w:rFonts w:ascii="Calibri" w:cs="Calibri" w:eastAsia="Calibri" w:hAnsi="Calibri"/>
          <w:sz w:val="22"/>
          <w:szCs w:val="22"/>
        </w:rPr>
        <w:t xml:space="preserve">Capability-driven safety artifact: MMLU drops noticeably, and the safety metrics also move; the safety movement is attributed to capability collapse rather than to an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w:t>
      </w:r>
    </w:p>
    <w:p>
      <w:pPr>
        <w:pStyle w:val="ListParagraph"/>
        <w:numPr>
          <w:ilvl w:val="0"/>
          <w:numId w:val="2"/>
        </w:numPr>
        <w:spacing w:after="80" w:line="280"/>
      </w:pPr>
      <w:r>
        <w:rPr>
          <w:rFonts w:ascii="Calibri" w:cs="Calibri" w:eastAsia="Calibri" w:hAnsi="Calibri"/>
          <w:sz w:val="22"/>
          <w:szCs w:val="22"/>
        </w:rPr>
        <w:t xml:space="preserve">Broad degradation: capability and both safety metrics worsen simultaneously.</w:t>
      </w:r>
    </w:p>
    <w:p>
      <w:pPr>
        <w:spacing w:after="160" w:line="300"/>
        <w:jc w:val="both"/>
      </w:pPr>
      <w:r>
        <w:rPr>
          <w:rFonts w:ascii="Calibri" w:cs="Calibri" w:eastAsia="Calibri" w:hAnsi="Calibri"/>
          <w:sz w:val="22"/>
          <w:szCs w:val="22"/>
        </w:rPr>
        <w:t xml:space="preserve">This decomposition is the principal mechanism through which the study addresses the central research question.</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Three statistical limitations should be borne in mind when interpreting the eventual results. First, with 400 samples per safety benchmark, the bootstrap 95% confidence interval on a binomial-proportion metric such as ASR is approximately ±5 percentage points; small deltas may not be statistically distinguishable from zero. Second, decoding is deterministic at temperature 0.0, so the only source of variance reflected in the confidence intervals is prompt sampling — there is no within-condition stochastic variance. Third, the MMLU subset comprises 300 questions distributed across six subjects; subject-level accuracy estimates are correspondingly noisy and are not reported as primary statistics. A planned future-work item proposes re-running a subset of pairs at temperature 0.7 with multiple seeds to provide an independent estimate of stochastic variance.</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eliminates within-condition variance from generation, and deterministic regex-based scoring eliminates judge-model variance from evaluation. The resume logic prevents partial-run contamination: every reported metric is computed from a complete raw.jsonl that contains exactly the configured number of prompts.</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techwithsergiu Qwen baselines are text-only derivatives of a multimodal Qwen series produced by removing the visual tower. Results therefore describe quantization behaviour on that specific weight provenance and may not transfer perfectly to the official Qwen 2.5 or Qwen 3 instruction checkpoints that are more commonly deployed in production. Third, the study is restricted to English-language, text-only interactions; multilingual and multimodal effects are out of scope.</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Refusal Parser Trade-offs</w:t>
      </w:r>
    </w:p>
    <w:p>
      <w:pPr>
        <w:spacing w:after="160" w:line="300"/>
        <w:jc w:val="both"/>
      </w:pPr>
      <w:r>
        <w:rPr>
          <w:rFonts w:ascii="Calibri" w:cs="Calibri" w:eastAsia="Calibri" w:hAnsi="Calibri"/>
          <w:sz w:val="22"/>
          <w:szCs w:val="22"/>
        </w:rPr>
        <w:t xml:space="preserve">The deterministic regex-based refusal parser was selected for reproducibility and transparency, and against the alternative of using a separate judge LLM. The trade-off is sensitivity. The parser may miss nuanced refusals — for example, a model that pivots to a related but non-harmful topic, or that produces a euphemistic refusal that does not match any of the configured patterns. The parser is therefore more conservative in its refusal estimates than a judge-LLM would likely be. The Future Work chapter proposes a sensitivity check in which a subset of responses is independently scored by a judge LLM and the resulting rates are compared against the deterministic parser as an additional validity check.</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Single quantization method. Only BitsAndBytes NF4 four-bit quantization is evaluated. GPTQ, AWQ, GGUF, and INT8 paths are out of scope and are flagged for follow-up work.</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The six-subject MMLU subset is a tractable but partial measure of general capability and does not include code generation, long-context reasoning, or tool-use evaluation.</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Temperature 0.0 is used throughout, eliminating within-condition stochastic variance from the analysis and precluding direct measurement of sample-to-sample variability.</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Re-run a representative subset of pairs at temperature 0.7 with three to five distinct seeds to obtain an independent estimate of within-condition variance. This would meaningfully strengthen the statistical claims of the primary study.</w:t>
      </w:r>
    </w:p>
    <w:p>
      <w:pPr>
        <w:pStyle w:val="ListParagraph"/>
        <w:numPr>
          <w:ilvl w:val="0"/>
          <w:numId w:val="6"/>
        </w:numPr>
        <w:spacing w:after="80" w:line="280"/>
      </w:pPr>
      <w:r>
        <w:rPr>
          <w:rFonts w:ascii="Calibri" w:cs="Calibri" w:eastAsia="Calibri" w:hAnsi="Calibri"/>
          <w:sz w:val="22"/>
          <w:szCs w:val="22"/>
        </w:rPr>
        <w:t xml:space="preserve">Expanded scale axis. Once primary results are in hand, extend the Qwen sweep to include a 0.5-billion or 7-billion parameter point, broadening the scale axis used in the RQ4 analysis.</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Judge-LLM sensitivity check. Re-score a stratified sample of responses with an independent judge LLM (or an ensemble) and compare the resulting refusal rates against the deterministic parser's estimates.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three benchmark plugins, the pairwise analysis layer with rule-based interpretation labels, full SLURM orchestration for the NTU TC1 cluster with resumable per-model matrix jobs, and a verification suite of 122 automated tests. The analytical contribution is the interpretation layer itself, which formalises the alignment-versus-capability disambiguation as a rule-based decision procedure over combined safety and capability deltas.</w:t>
      </w:r>
    </w:p>
    <w:p>
      <w:pPr>
        <w:spacing w:after="160" w:line="300"/>
        <w:jc w:val="both"/>
      </w:pPr>
      <w:r>
        <w:rPr>
          <w:rFonts w:ascii="Calibri" w:cs="Calibri" w:eastAsia="Calibri" w:hAnsi="Calibri"/>
          <w:sz w:val="22"/>
          <w:szCs w:val="22"/>
        </w:rPr>
        <w:t xml:space="preserve">The framework is complete, validated, and ready for cluster execution. Three pairs (Qwen 2B, Qwen 4B, and Llama 3.2 3B) are configured, six sbatch files have been generated, Hugging Face gated access has been verified, and all required datasets and model weights have been pre-cached on TC1. The next operational step is a short smoke sbatch to validate offline GPU execution before submitting the full six-job matrix. The expected output is a set of pairwise deltas and interpretation labels that directly answer the five research questions, and a documented empirical baseline for future quantization-safety work in the compact-model regime.</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The following references are cited or contextually relevant. Final publication-grade formatting will be applied in the final FYP submission.</w:t>
      </w:r>
    </w:p>
    <w:p>
      <w:pPr>
        <w:pStyle w:val="ListParagraph"/>
        <w:numPr>
          <w:ilvl w:val="0"/>
          <w:numId w:val="7"/>
        </w:numPr>
        <w:spacing w:after="80" w:line="280"/>
      </w:pPr>
      <w:r>
        <w:rPr>
          <w:rFonts w:ascii="Calibri" w:cs="Calibri" w:eastAsia="Calibri" w:hAnsi="Calibri"/>
          <w:sz w:val="22"/>
          <w:szCs w:val="22"/>
        </w:rPr>
        <w:t xml:space="preserve">Sun, L., et al. TrustLLM: Trustworthiness in Large Language Models. arXiv:2401.05561, 2024.</w:t>
      </w:r>
    </w:p>
    <w:p>
      <w:pPr>
        <w:pStyle w:val="ListParagraph"/>
        <w:numPr>
          <w:ilvl w:val="0"/>
          <w:numId w:val="7"/>
        </w:numPr>
        <w:spacing w:after="80" w:line="280"/>
      </w:pPr>
      <w:r>
        <w:rPr>
          <w:rFonts w:ascii="Calibri" w:cs="Calibri" w:eastAsia="Calibri" w:hAnsi="Calibri"/>
          <w:sz w:val="22"/>
          <w:szCs w:val="22"/>
        </w:rPr>
        <w:t xml:space="preserve">Wang, B., et al. DecodingTrust: A Comprehensive Assessment of Trustworthiness in GPT Models. NeurIPS 2023 Datasets and Benchmarks Track.</w:t>
      </w:r>
    </w:p>
    <w:p>
      <w:pPr>
        <w:pStyle w:val="ListParagraph"/>
        <w:numPr>
          <w:ilvl w:val="0"/>
          <w:numId w:val="7"/>
        </w:numPr>
        <w:spacing w:after="80" w:line="280"/>
      </w:pPr>
      <w:r>
        <w:rPr>
          <w:rFonts w:ascii="Calibri" w:cs="Calibri" w:eastAsia="Calibri" w:hAnsi="Calibri"/>
          <w:sz w:val="22"/>
          <w:szCs w:val="22"/>
        </w:rPr>
        <w:t xml:space="preserve">Zhang, Z., et al. SafetyBench: Evaluating the Safety of Large Language Models. arXiv:2309.07045, 2023.</w:t>
      </w:r>
    </w:p>
    <w:p>
      <w:pPr>
        <w:pStyle w:val="ListParagraph"/>
        <w:numPr>
          <w:ilvl w:val="0"/>
          <w:numId w:val="7"/>
        </w:numPr>
        <w:spacing w:after="80" w:line="280"/>
      </w:pPr>
      <w:r>
        <w:rPr>
          <w:rFonts w:ascii="Calibri" w:cs="Calibri" w:eastAsia="Calibri" w:hAnsi="Calibri"/>
          <w:sz w:val="22"/>
          <w:szCs w:val="22"/>
        </w:rPr>
        <w:t xml:space="preserve">Mazeika, M., et al. HarmBench: A Standardized Evaluation Framework for Automated Red Teaming and Robust Refusal. arXiv:2402.04249, 2024.</w:t>
      </w:r>
    </w:p>
    <w:p>
      <w:pPr>
        <w:pStyle w:val="ListParagraph"/>
        <w:numPr>
          <w:ilvl w:val="0"/>
          <w:numId w:val="7"/>
        </w:numPr>
        <w:spacing w:after="80" w:line="280"/>
      </w:pPr>
      <w:r>
        <w:rPr>
          <w:rFonts w:ascii="Calibri" w:cs="Calibri" w:eastAsia="Calibri" w:hAnsi="Calibri"/>
          <w:sz w:val="22"/>
          <w:szCs w:val="22"/>
        </w:rPr>
        <w:t xml:space="preserve">Röttger, P., et al. XSTest: A Test Suite for Identifying Exaggerated Safety Behaviours in Large Language Models. arXiv:2308.01263, 2023.</w:t>
      </w:r>
    </w:p>
    <w:p>
      <w:pPr>
        <w:pStyle w:val="ListParagraph"/>
        <w:numPr>
          <w:ilvl w:val="0"/>
          <w:numId w:val="7"/>
        </w:numPr>
        <w:spacing w:after="80" w:line="280"/>
      </w:pPr>
      <w:r>
        <w:rPr>
          <w:rFonts w:ascii="Calibri" w:cs="Calibri" w:eastAsia="Calibri" w:hAnsi="Calibri"/>
          <w:sz w:val="22"/>
          <w:szCs w:val="22"/>
        </w:rPr>
        <w:t xml:space="preserve">Hendrycks, D., et al. Measuring Massive Multitask Language Understanding. ICLR 2021. (MMLU)</w:t>
      </w:r>
    </w:p>
    <w:p>
      <w:pPr>
        <w:pStyle w:val="ListParagraph"/>
        <w:numPr>
          <w:ilvl w:val="0"/>
          <w:numId w:val="7"/>
        </w:numPr>
        <w:spacing w:after="80" w:line="280"/>
      </w:pPr>
      <w:r>
        <w:rPr>
          <w:rFonts w:ascii="Calibri" w:cs="Calibri" w:eastAsia="Calibri" w:hAnsi="Calibri"/>
          <w:sz w:val="22"/>
          <w:szCs w:val="22"/>
        </w:rPr>
        <w:t xml:space="preserve">Dettmers, T., Pagnoni, A., Holtzman, A., Zettlemoyer, L. QLoRA: Efficient Finetuning of Quantized LLMs. NeurIPS 2023. (Introduces NF4 quantization and the bitsandbytes integration.)</w:t>
      </w:r>
    </w:p>
    <w:p>
      <w:pPr>
        <w:pStyle w:val="ListParagraph"/>
        <w:numPr>
          <w:ilvl w:val="0"/>
          <w:numId w:val="7"/>
        </w:numPr>
        <w:spacing w:after="80" w:line="280"/>
      </w:pPr>
      <w:r>
        <w:rPr>
          <w:rFonts w:ascii="Calibri" w:cs="Calibri" w:eastAsia="Calibri" w:hAnsi="Calibri"/>
          <w:sz w:val="22"/>
          <w:szCs w:val="22"/>
        </w:rPr>
        <w:t xml:space="preserve">Qwen Team. Qwen Technical Report Series (Qwen 2.5 / Qwen 3.x). Alibaba DAMO Academy, 2024–2025.</w:t>
      </w:r>
    </w:p>
    <w:p>
      <w:pPr>
        <w:pStyle w:val="ListParagraph"/>
        <w:numPr>
          <w:ilvl w:val="0"/>
          <w:numId w:val="7"/>
        </w:numPr>
        <w:spacing w:after="80" w:line="280"/>
      </w:pPr>
      <w:r>
        <w:rPr>
          <w:rFonts w:ascii="Calibri" w:cs="Calibri" w:eastAsia="Calibri" w:hAnsi="Calibri"/>
          <w:sz w:val="22"/>
          <w:szCs w:val="22"/>
        </w:rPr>
        <w:t xml:space="preserve">Meta AI. Llama 3.2 Model Family. Technical Report, 2024.</w:t>
      </w:r>
    </w:p>
    <w:p>
      <w:pPr>
        <w:pStyle w:val="ListParagraph"/>
        <w:numPr>
          <w:ilvl w:val="0"/>
          <w:numId w:val="7"/>
        </w:numPr>
        <w:spacing w:after="80" w:line="280"/>
      </w:pPr>
      <w:r>
        <w:rPr>
          <w:rFonts w:ascii="Calibri" w:cs="Calibri" w:eastAsia="Calibri" w:hAnsi="Calibri"/>
          <w:sz w:val="22"/>
          <w:szCs w:val="22"/>
        </w:rPr>
        <w:t xml:space="preserve">Liu, S., et al. Behavioural Effects of Quantization on Instruction-Tuned Models. arXiv:2402.16775, 2024. (placeholder)</w:t>
      </w:r>
    </w:p>
    <w:p>
      <w:pPr>
        <w:pStyle w:val="ListParagraph"/>
        <w:numPr>
          <w:ilvl w:val="0"/>
          <w:numId w:val="7"/>
        </w:numPr>
        <w:spacing w:after="80" w:line="280"/>
      </w:pPr>
      <w:r>
        <w:rPr>
          <w:rFonts w:ascii="Calibri" w:cs="Calibri" w:eastAsia="Calibri" w:hAnsi="Calibri"/>
          <w:sz w:val="22"/>
          <w:szCs w:val="22"/>
        </w:rPr>
        <w:t xml:space="preserve">Anonymous Authors. A Comprehensive Evaluation of Quantization Strategies for Large Language Models (1B–405B). arXiv:2409.11055, 2024. (placeholder)</w:t>
      </w:r>
    </w:p>
    <w:p>
      <w:pPr>
        <w:pStyle w:val="ListParagraph"/>
        <w:numPr>
          <w:ilvl w:val="0"/>
          <w:numId w:val="7"/>
        </w:numPr>
        <w:spacing w:after="80" w:line="280"/>
      </w:pPr>
      <w:r>
        <w:rPr>
          <w:rFonts w:ascii="Calibri" w:cs="Calibri" w:eastAsia="Calibri" w:hAnsi="Calibri"/>
          <w:sz w:val="22"/>
          <w:szCs w:val="22"/>
        </w:rPr>
        <w:t xml:space="preserve">Anonymous Authors. Safety and Trustworthiness Effects of Post-Training Quantization. arXiv:2502.15799, 2025. (placeholder)</w:t>
      </w:r>
    </w:p>
    <w:p>
      <w:pPr>
        <w:pStyle w:val="ListParagraph"/>
        <w:numPr>
          <w:ilvl w:val="0"/>
          <w:numId w:val="7"/>
        </w:numPr>
        <w:spacing w:after="80" w:line="280"/>
      </w:pPr>
      <w:r>
        <w:rPr>
          <w:rFonts w:ascii="Calibri" w:cs="Calibri" w:eastAsia="Calibri" w:hAnsi="Calibri"/>
          <w:sz w:val="22"/>
          <w:szCs w:val="22"/>
        </w:rPr>
        <w:t xml:space="preserve">Anonymous Authors. Safety-Preserving Quantization for Aligned LLMs. arXiv:2511.07842, 2025. (placeholder)</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2.0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techwithsergiu/Qwen3.5-text-2B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2.0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techwithsergiu/Qwen3.5-text-2B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techwithsergiu/Qwen3.5-text-4B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techwithsergiu/Qwen3.5-text-4B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122 automated tests across twelve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and interpretation labels.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 regex correctness on representative responses.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(other small fixtures)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Conftest fixtures, shared mocks.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(122 tests across 12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FYP_Report_2026-05-23.docx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 refactors, tests, dev tooling —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`scripts/build_fyp_report.js`; the docx is a build artifact and is never hand-edited.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2026-05-26T16:36:40.400Z</dcterms:created>
  <dcterms:modified xsi:type="dcterms:W3CDTF">2026-05-26T16:36:40.400Z</dcterms:modified>
</cp:coreProperties>
</file>

<file path=docProps/custom.xml><?xml version="1.0" encoding="utf-8"?>
<Properties xmlns="http://schemas.openxmlformats.org/officeDocument/2006/custom-properties" xmlns:vt="http://schemas.openxmlformats.org/officeDocument/2006/docPropsVTypes"/>
</file>