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itself scorer-dependent, as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applying a condensed one-sentence yes/no rubric that encodes the same harmful-behaviour criterion as the HarmBench classifier rather than the classifier’s full enumerated template [11], [12].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(§7.2).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so it is scorer-dependent — §7.2), while Qwen3-1.7B’s smaller decrease is not significant on either criterion (−0.024, McNemar p = 0.109; its CI [−0.048, 0.000] touches zero). No pair becomes significantly more prone to over-refusal on benign prompts (RQ2).</w:t>
      </w:r>
    </w:p>
    <w:p>
      <w:pPr>
        <w:spacing w:after="160" w:line="360"/>
        <w:jc w:val="both"/>
      </w:pPr>
      <w:r>
        <w:rPr>
          <w:rFonts w:ascii="Times New Roman" w:cs="Times New Roman" w:eastAsia="Times New Roman" w:hAnsi="Times New Roman"/>
          <w:sz w:val="24"/>
          <w:szCs w:val="24"/>
        </w:rPr>
        <w:t xml:space="preserve">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This apparent divergence is, however, a parsing artefact rather than genuine MMLU-specificity: the option-letter parser falls back to a lenient “first in-range capital letter anywhere” scan when a response neither leads with the option letter nor states an explicit “answer is X”, and for qwen_2b_4bit this fallback fires on 48.7 percent of MMLU items and 52.3 percent of ARC items (versus about 3 percent at fp16), salvaging the format-broken ARC answers more accurately (66 percent) than the MMLU ones (46 percent against the leading-letter rule’s 75 percent) and so masking the ARC loss. Part of the −0.090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lenient near-zero magnitude reflects parser salvage, not immunity. Each benchmark’s loss is honestly a bracket whose lenient end tracks answer-knowledge (largely preserved, since the salvaged answers are 66 percent correct) and whose strict end tracks format-compliant answering, and answer-format parsing is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which is why it carries the capability-collapse-masquerading-as-safety label (that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rest on deterministic exact-match scoring (MMLU and ARC parse an option letter; no refusal scorer is involved); the over-refusal survivor is regex-scored and scorer-dependent (an independent refusal judge does not reproduce it, §7.2).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w:t>
      </w:r>
    </w:p>
    <w:p>
      <w:pPr>
        <w:spacing w:after="160" w:line="360"/>
        <w:jc w:val="both"/>
      </w:pPr>
      <w:r>
        <w:rPr>
          <w:rFonts w:ascii="Times New Roman" w:cs="Times New Roman" w:eastAsia="Times New Roman" w:hAnsi="Times New Roman"/>
          <w:sz w:val="24"/>
          <w:szCs w:val="24"/>
        </w:rPr>
        <w:t xml:space="preserve">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base/NF4 aliases of the primary study, with the judge counting roughly four times as many refusals). The one multiplicity-robust over-refusal contrast is therefore scorer-dependent — a reproducible property of the refusal regex, not a classifier- or human-validated over-refusal shift —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2026-07-16T02:16:31.321Z</dcterms:created>
  <dcterms:modified xsi:type="dcterms:W3CDTF">2026-07-16T02:16:31.322Z</dcterms:modified>
</cp:coreProperties>
</file>

<file path=docProps/custom.xml><?xml version="1.0" encoding="utf-8"?>
<Properties xmlns="http://schemas.openxmlformats.org/officeDocument/2006/custom-properties" xmlns:vt="http://schemas.openxmlformats.org/officeDocument/2006/docPropsVTypes"/>
</file>