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 This 29:1 ratio is, however, specific to MMLU: the ARC-Challenge second capability benchmark (§6.4.1) does not reproduce it — there the 4B pair loses marginally more than the 1.7B pair —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six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 ARC-Challenge (allenai/ai2_arc; 1,172 reasoning-oriented science questions; identical exact-match scoring) — was run on all six models to test whether the MMLU-based capability claims replicate (results/analysis/pairwise_deltas, benchmark = arc; same 2,000-resample paired-bootstrap CI as MMLU). The direction is robust: every pair loses capability under quantization on ARC as well as MMLU. The magnitude and significance, however, diverge informatively. Qwen 1.7B — which loses a large, significant 8.7 pp on MMLU — loses only 1.3 pp on ARC (CI [−0.036, +0.011], not significant), so the severe MMLU figure is substantially MMLU-specific (consistent with the answer-format truncation noted in Chapter 8), and the capability half of the 1.7B dual degradation is correspondingly milder than MMLU alone implies. Qwen 4B shows the opposite pattern: flat on MMLU (−0.3 pp, n.s.) but a small, significant −2.1 pp on ARC (CI [−0.037, −0.007]), so its capability is less fully preserved than MMLU suggested. Llama 3B is the most consistent pair — significant on both (−4.3 pp MMLU, −2.8 pp ARC). Two implications follow. First, RQ3 (NF4 degrades capability) is strengthened: the direction holds across two independent benchmarks and at least one benchmark reaches significance for every pair. Second, the dramatic within-Qwen scale gap under MMLU (the ≈29:1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 A second capability benchmark (ARC-Challenge; §6.4.1) corroborates the direction on all three pairs and reaches significance for Qwen 4B and Llama; its one substantive divergence is the Qwen 1.7B loss, which is far smaller and non-significant on ARC (−1.3 pp) than on MMLU (−8.7 pp). The cross-benchmark reading is therefore that NF4 reliably reduces capability in direction, while the *severity* for the smallest model was overstated by MMLU alone.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more sensitive to NF4 quantization than larger ones on harmful compliance, and on capability *as measured by MMLU* — but the capability half of this claim is benchmark-dependent. On the ARC-Challenge second benchmark (§6.4.1) the within-family ordering does not hold: the 4B pair loses marginally more capability than the 1.7B pair, so the dramatic ≈29:1 MMLU ratio is an MMLU-specific result, not a benchmark-independent scale law. The safety-axis contrast (1.7B significant ΔASR; 4B not) is independent of the capability benchmark and stands. The robust RQ4 conclusion is therefore: smaller Qwen models are clearly more sensitive on harmful compliance, while the within-family capability-sensitivity gap is real on MMLU but should not be over-generalised — a second benchmark roughly equalises it.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Cohen's κ ranges from 0.69 to 0.94 across the six models (substantial-to-almost-perfect agreement) — far higher than the regex-versus-classifier agreement (κ ≈ 0.19–0.37 for Qwen), confirming that it was the regex, not the classifier, that was the outlier. The per-pair ΔASR direction is reproduced: gpt-4o gives Qwen 1.7B +0.045 (versus the classifier's +0.055), Qwen 4B +0.010 (versus +0.025), and Llama +0.005 (versus 0.000); both judges agree only the smallest model moves materially.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0.69–0.94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six models (§6.4.1). It confirms the direction of capability loss but shows the MMLU magnitudes are partly benchmark-specific — Qwen 1.7B's large MMLU drop does not replicate on ARC, while Qwen 4B shows a small significant ARC loss MMLU missed — so capability is now reported as a two-benchmark composite.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six models (§6.4.1) and corroborated the direction of capability loss while showing the MMLU magnitudes are partly benchmark-specific — notably the Qwen 1.7B drop (−8.7 pp MMLU vs −1.3 pp ARC, n.s.) and the within-Qwen scale ratio (≈29:1 on MMLU,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2026-06-14T13:14:23.319Z</dcterms:created>
  <dcterms:modified xsi:type="dcterms:W3CDTF">2026-06-14T13:14:23.320Z</dcterms:modified>
</cp:coreProperties>
</file>

<file path=docProps/custom.xml><?xml version="1.0" encoding="utf-8"?>
<Properties xmlns="http://schemas.openxmlformats.org/officeDocument/2006/custom-properties" xmlns:vt="http://schemas.openxmlformats.org/officeDocument/2006/docPropsVTypes"/>
</file>