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[16] are the primary within-family comparison and provide both a quantization axis and a scale axis. The Llama 3.2 3B pair [17]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the delta is reported as borderline. Exactly one contrast in the study sits in that margin: Qwen3-1.7B's over-refusal decrease (−0.028; bootstrap CI [−0.052, −0.004] excludes zero, but only 11 prompts are discordant and McNemar's exact p = 0.065).</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the one contrast where the two criteria disagree, Qwen3-1.7B's over-refusal decrease, CI [−0.052, −0.004] but McNemar p = 0.065 on 11 discordant prompts, is marked borderline rather than significant.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borderline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"borderline" marks the one contrast (Qwen3-1.7B over-refusal) where the CI excludes zero but the exact test does not reach significance (p = 0.065).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(−0.044); Qwen3-1.7B's over-refusal decrease (−0.028) is borderline (its bootstrap CI excludes zero but McNemar's exact test gives p = 0.065;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and the one borderline delta (Qwen3-1.7B) are both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 marks the one borderline case, Qwen3-1.7B Δover-refusal, whose CI excludes zero but whose exact test does not reach significance (p = 0.065; §3.7).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and the one borderline delta (Qwen3-1.7B, McNemar p = 0.065) are both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(0.056 → 0.028, ΔOR = −0.028), a borderline effect: the bootstrap CI [−0.052, −0.004] excludes zero, but McNemar's exact test on the 11 discordant prompts gives p = 0.065, so under the study's significance criterion (§3.7) the decrease is suggestive rather than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(−0.044), with Qwen 1.7B's over-refusal decrease (−0.028) a borderline case (bootstrap CI excludes zero, McNemar p = 0.065;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−0.028 (0.056 → 0.028, borderline: bootstrap CI excludes zero, McNemar p = 0.065; §3.7), Qwen3-4B 0.000 (0.032 → 0.032, not significant), Llama 3B +0.016 (0.036 → 0.052, not significant), Mistral-7B +0.004 (0.004 → 0.008, not significant), and Phi-4-mini −0.044 (0.128 → 0.084, significant, McNemar p = 0.007). The one significant over-refusal delta (Phi) and the one borderline delta (Qwen 1.7B)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 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and the borderline Qwen 1.7B delta are both decreases;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borderline: bootstrap CI excludes zero but McNemar p = 0.065; §3.7)), and the one significant move, Phi-4-mini (−0.044), together with the borderline Qwen3-1.7B decrease,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moves that approach or reach significance are reductions in false refusals (Qwen 1.7B and Phi).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[22], [23].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2026-07-09T17:01:08.806Z</dcterms:created>
  <dcterms:modified xsi:type="dcterms:W3CDTF">2026-07-09T17:01:08.807Z</dcterms:modified>
</cp:coreProperties>
</file>

<file path=docProps/custom.xml><?xml version="1.0" encoding="utf-8"?>
<Properties xmlns="http://schemas.openxmlformats.org/officeDocument/2006/custom-properties" xmlns:vt="http://schemas.openxmlformats.org/officeDocument/2006/docPropsVTypes"/>
</file>