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 · content revised through 22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headline, Hong et al. [8] scrutinise trustworthiness across five compression methods and eight trust dimensions and find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 judge literature cautions that their reliability must itself be evaluated rather than assumed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 prompted with the Hugging Face model-card template rather than the GitHub evaluation-harness variant, so absolute ASR levels are not directly harness-comparable while matched-pair deltas are unaffected — run in full precision so that the reference instrument is not itself confounded by quantization. A second, architecturally independent judge (GPT-4o; run 2026-06-14 — the API alias’s dated snapshot was not recorded, so the revision-pinned open-weight LlamaGuard third judge is the reproducible arm) re-scores the same generations as a robustness check [11], [12].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[17] over the twenty-contrast primary family; a power analysis (Connor’s normal-approximation treatment of the paired McNemar design [18]) reports the minimum detectable effect (about 0.04–0.09 per pair at n = 200);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[19] between the regex and the classifier at the 512-token reference budget is fair-to-moderate for the Qwen and Mistral models and substantial or better for Llama and Phi (verbal bands per Landis and Koch [20])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(slight)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the lowest;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to almost perfect;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360"/>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regex-scored and scorer-dependent — an independent three-class refusal judge does not reproduce it, and a completed blinded human audit now weights that judge over the regex, so the decrease is most plausibly a regex measurement artifact, §7.2), and Qwen3-1.7B’s decrease is non-significant on both criteria at the corrected over-refusal scoring (−0.024, CI [−0.048, 0.000], McNemar p = 0.109).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arm has since been extended to all five pairs and corroborates the null in each: no pair shows a sign-consistent majority of individually significant seeds (Qwen3-4B mean +0.029, 1 of 5 seeds significant; Llama −0.024, 2 of 5, both decreases; Mistral +0.012, 0 of 5; Phi −0.012, 1 of 5), and the greedy estimate sits inside the seed range for the three original pairs while falling marginally outside it with a sign flip for Mistral (greedy −0.020) and Phi (greedy +0.020) — small, zero-straddling, sign-unstable gaps (at most 0.04) rather than a stochastic effect the greedy run missed, and one Phi seed is itself individually significant at −0.055 (McNemar p = 0.043, a decrease and 1 of 5, so it does not lift the pair-level reading).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[21].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 paired per-item McNemar contrasts, none significant — far below the multiplicity-robust NF4 losses of three to nine points,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[18] makes the detection floor explicit: at n = 200 and the observed discordant rates, the minimum detectable ΔASR for 80 percent power is about 0.06 for a representative pair (the per-pair values span 0.04–0.09).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 regex-scored and scorer-dependent; an independent refusal judge does not reproduce it, §7.2).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 A validation-informed parallel correction — the identical twenty-contrast family with the five over-refusal contrasts scored by the independent judge under its strict mapping, composition locked in a dated note before computation (docs/VALIDATION_INFORMED_FAMILY_NOTE.md; results_512/analysis/multiple_comparisons_judge_strict.json) — leaves two contrasts surviving, both capability effects (Qwen3-1.7B MMLU, q = 0.008; Llama-3B ARC, q = 0.008); it is purely deflationary, and the registered regex-scored family above remains the family of record.</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no scorer finds a statistically significant over-refusal increase in any pair, and the only exact-test-significant over-refusal change is a regex-scored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 Over-refusal remains regex-scored, a known weaker construct: XSTest’s own protocol relies on LLM-based three-way labelling (full compliance / partial refusal / full refusal) rather than a released fine-tuned classifier, whereas this study deliberately substitutes a deterministic binary refusal regex — a reproducibility-motivated deviation that yields a coarser refusal / non-refusal reading — so the single over-refusal contrast that survives multiplicity correction (Phi-4-mini’s −0.048 decrease) is a reproducible non-refusal-rate change rather than a classifier-validated over-refusal shift. Run as a sensitivity check, an independent gpt-4o three-class refusal judge (XSTest’s own full-compliance / partial-refusal / full-refusal taxonomy) re-scored all 3,750 saved benign responses with zero parse failures, the regex kept primary, and did not reproduce that decrease: the direction reverses to ΔOR +0.016 under a strict full-refusal reading (McNemar p = 0.597) and sits at −0.004 under a broad partial-or-full reading (p = 1.000), both non-significant, and the two scorers disagree substantially (the judge counts about four times more refusals, mean over-refusal 0.171 strict versus regex 0.044; per-alias Cohen’s κ −0.01 to 0.50). The −0.048 survivor is therefore scorer-dependent, and a completed 200-item blinded human audit (single annotator, disagreement-enriched draw, a mechanical Outcome J carried with one disclosed protocol deviation, pre-registration §8) resolves the weighting: the judge aligns substantially better with the annotator than the regex on this construct (strict κ 0.485 versus −0.006; the regex recovered only 2 of the annotator’s 63 full refusals), so the contrast is carried as most plausibly a measurement artifact of the regex scorer, with the regex retained as the original pre-specified scorer-of-record and a second annotator the residual strengthening. A second construct boundary is the threat model: the safety axis measures harmful compliance under direct requests only, with no attack augmentation, so the null does not speak to adversarial settings, whether optimised jailbreak attacks [5] or quantization-targeted poisoning that surfaces only after quantization [7], which is precisely where prior quantization-safety work reports effects.</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the two Qwen3 pairs run in non-default non-thinking mode, with the quantization × thinking-mode interaction untested),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0.04–0.09 per pair),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for a representative pair (0.04–0.09 across pairs),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sensitivity arm now covers all five pairs and corroborates the null, though for Mistral and Phi the greedy estimate falls marginally outside the seed range with a sign flip (small noise around zero).</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over-refusal axis now carries its own 200-item blinded audit (judge strict κ 0.485 vs regex −0.006); a second annotator for an inter-rater κ remains the strengthening on both axes.</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its effect is matched across the pair by construction,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by an open-weight third judge (Llama-Guard-3-8B [22], revision-pinned) across all fifteen aliases — Cohen’s κ 0.36–0.92 against the classifier over the ten base/NF4 aliases, every per-pair ΔASR non-significant; a reproducibility cross-check of a looser “is this response unsafe?” construct, not a second construct-validity oracle — and a single-annotator human-label validation of 200 stratified responses has grounded the primary scorer against human judgment (classifier κ 0.59 versus regex 0.11). Three robustness arms are complete: a five-seed stochastic-decoding sensitivity arm (all five pairs), a first-token refusal-margin mechanism probe, and the fp16 → INT8 → NF4 precision sweep. The analysis is complete, and the supporting framework, automated verification suite, and artifact-derived claim registry are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Y. Benjamini and Y. Hochberg, “Controlling the false discovery rate: A practical and powerful approach to multiple testing,” Journal of the Royal Statistical Society: Series B (Methodological), vol. 57, no. 1, pp. 289–300, 1995.</w:t>
      </w:r>
    </w:p>
    <w:p>
      <w:pPr>
        <w:spacing w:after="90" w:line="264"/>
        <w:ind w:left="400" w:hanging="400"/>
      </w:pPr>
      <w:r>
        <w:rPr>
          <w:rFonts w:ascii="Times New Roman" w:cs="Times New Roman" w:eastAsia="Times New Roman" w:hAnsi="Times New Roman"/>
          <w:sz w:val="22"/>
          <w:szCs w:val="22"/>
        </w:rPr>
        <w:t xml:space="preserve">[18] R. J. Connor, “Sample size for testing differences in proportions for the paired-sample design,” Biometrics, vol. 43, no. 1, pp. 207–211, 1987.</w:t>
      </w:r>
    </w:p>
    <w:p>
      <w:pPr>
        <w:spacing w:after="90" w:line="264"/>
        <w:ind w:left="400" w:hanging="400"/>
      </w:pPr>
      <w:r>
        <w:rPr>
          <w:rFonts w:ascii="Times New Roman" w:cs="Times New Roman" w:eastAsia="Times New Roman" w:hAnsi="Times New Roman"/>
          <w:sz w:val="22"/>
          <w:szCs w:val="22"/>
        </w:rPr>
        <w:t xml:space="preserve">[19] J. Cohen, “A coefficient of agreement for nominal scales,” Educational and Psychological Measurement, vol. 20, no. 1, pp. 37–46, 1960.</w:t>
      </w:r>
    </w:p>
    <w:p>
      <w:pPr>
        <w:spacing w:after="90" w:line="264"/>
        <w:ind w:left="400" w:hanging="400"/>
      </w:pPr>
      <w:r>
        <w:rPr>
          <w:rFonts w:ascii="Times New Roman" w:cs="Times New Roman" w:eastAsia="Times New Roman" w:hAnsi="Times New Roman"/>
          <w:sz w:val="22"/>
          <w:szCs w:val="22"/>
        </w:rPr>
        <w:t xml:space="preserve">[20] J. R. Landis and G. G. Koch, “The measurement of observer agreement for categorical data,” Biometrics, vol. 33, no. 1, pp. 159–174, 1977.</w:t>
      </w:r>
    </w:p>
    <w:p>
      <w:pPr>
        <w:spacing w:after="90" w:line="264"/>
        <w:ind w:left="400" w:hanging="400"/>
      </w:pPr>
      <w:r>
        <w:rPr>
          <w:rFonts w:ascii="Times New Roman" w:cs="Times New Roman" w:eastAsia="Times New Roman" w:hAnsi="Times New Roman"/>
          <w:sz w:val="22"/>
          <w:szCs w:val="22"/>
        </w:rPr>
        <w:t xml:space="preserve">[21] I. Proskurina, L. Brun, G. Metzler, and J. Velcin, “When quantization affects confidence of large language models?,” in Findings of NAACL, 2024. arXiv:2405.00632.</w:t>
      </w:r>
    </w:p>
    <w:p>
      <w:pPr>
        <w:spacing w:after="90" w:line="264"/>
        <w:ind w:left="400" w:hanging="400"/>
      </w:pPr>
      <w:r>
        <w:rPr>
          <w:rFonts w:ascii="Times New Roman" w:cs="Times New Roman" w:eastAsia="Times New Roman" w:hAnsi="Times New Roman"/>
          <w:sz w:val="22"/>
          <w:szCs w:val="22"/>
        </w:rPr>
        <w:t xml:space="preserve">[22]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[23]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[24]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[25]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[26]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[23]: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[24], [25]) and is packaged for reuse in line with open-source-software peer-review norms [26].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340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an automated verification suite across the schema, loaders, scorers, analysis mathematics, SLURM generation, and registered document surfaces. The artifact-derived claim registry binds load-bearing tables, captions, deck data, and recurring prose to results_512/analysis/, while a checksum manifest pins immutable raw artefacts. The live test inventory is obtained from pytest rather than copied into the interim report.</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2026-07-21T18:16:03.915Z</dcterms:created>
  <dcterms:modified xsi:type="dcterms:W3CDTF">2026-07-21T18:16:03.916Z</dcterms:modified>
</cp:coreProperties>
</file>

<file path=docProps/custom.xml><?xml version="1.0" encoding="utf-8"?>
<Properties xmlns="http://schemas.openxmlformats.org/officeDocument/2006/custom-properties" xmlns:vt="http://schemas.openxmlformats.org/officeDocument/2006/docPropsVTypes"/>
</file>