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0.06 at n = 200 for the representative pair, with the five pairs spanning 0.044 to 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and sign-unstable gaps (each 0.04 or less) around seed means that are themselves near zero (Mistral +0.012, Phi −0.012), not a directional signal the greedy run missed. This is not read off a single detection floor: per-pair minimum detectable effects vary (0.044 to 0.086 at n = 200), and one Phi seed is itself individually significant at −0.055 (McNemar p = 0.043),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significant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at the representative (median-discordant) pair, with the five pairs spanning 0.044 to 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[22],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(strict-mapping Cohen’s κ 0.485 against −0.006, broad-mapping 0.662 against 0.054). One protocol deviation is disclosed rather than glossed (pre-registration §8): the blindness exclusion was applied prompt-wide (the five quoted prompts were removed from all ten aliases) instead of to the at most ten pre-specified (alias, prompt) items, which under the pre-registration’s strict letter voids the clean confirmatory badge, so this is reported as a validation consistent with Outcome J that carries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 to 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 to 0.086 across the five),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a mechanical Outcome J carried with one disclosed protocol deviation, prereg §8); both groundings rest on one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a mechanical Outcome J carried with one disclosed protocol deviation, prereg §8, with the judge substantially better aligned with the annotator than the regex). The open-weight guard-model cross-check (Llama Guard [22])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2026-07-21T18:16:04.411Z</dcterms:created>
  <dcterms:modified xsi:type="dcterms:W3CDTF">2026-07-21T18:16:04.411Z</dcterms:modified>
</cp:coreProperties>
</file>

<file path=docProps/custom.xml><?xml version="1.0" encoding="utf-8"?>
<Properties xmlns="http://schemas.openxmlformats.org/officeDocument/2006/custom-properties" xmlns:vt="http://schemas.openxmlformats.org/officeDocument/2006/docPropsVTypes"/>
</file>