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artifact-derived claim registry</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(its research design, experimental methodology, analysis, and interpretation)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360"/>
        <w:jc w:val="left"/>
      </w:pPr>
      <w:r>
        <w:rPr>
          <w:rFonts w:ascii="Times New Roman" w:cs="Times New Roman" w:eastAsia="Times New Roman" w:hAnsi="Times New Roman"/>
          <w:sz w:val="24"/>
          <w:szCs w:val="24"/>
        </w:rPr>
        <w:t xml:space="preserve">Tan Uei Horng  (UTAN001)</w:t>
      </w:r>
    </w:p>
    <w:p>
      <w:pPr>
        <w:spacing w:after="30" w:line="360"/>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360"/>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thesis asks whether the safety changes attributed to quantization are genuine alignment shifts or artefacts of capability loss, invalid scoring, or truncated generation.</w:t>
      </w:r>
    </w:p>
    <w:p>
      <w:pPr>
        <w:spacing w:after="160" w:line="360"/>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360"/>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 the latter most plausibly a measurement artifact of the regex scorer, since an independent three-class refusal judge does not reproduce it and a blinded human audit finds that judge substantially better aligned with the annotator than the regex on this construct (§7.2); a validation-informed parallel correction with over-refusal scored by that judge leaves two survivors, both capability effects (§6.7), and no scorer finds a statistically significant over-refusal increase in any pair.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360"/>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360"/>
        <w:jc w:val="left"/>
      </w:pPr>
      <w:r>
        <w:rPr>
          <w:rFonts w:ascii="Times New Roman" w:cs="Times New Roman" w:eastAsia="Times New Roman" w:hAnsi="Times New Roman"/>
          <w:sz w:val="24"/>
          <w:szCs w:val="24"/>
        </w:rPr>
        <w:t xml:space="preserve">Table 3.1  Model pairs, families, and parameter scales.</w:t>
      </w:r>
    </w:p>
    <w:p>
      <w:pPr>
        <w:spacing w:after="60" w:line="360"/>
        <w:jc w:val="left"/>
      </w:pPr>
      <w:r>
        <w:rPr>
          <w:rFonts w:ascii="Times New Roman" w:cs="Times New Roman" w:eastAsia="Times New Roman" w:hAnsi="Times New Roman"/>
          <w:sz w:val="24"/>
          <w:szCs w:val="24"/>
        </w:rPr>
        <w:t xml:space="preserve">Table 3.2  Benchmarks, primary metrics, and sample budgets.</w:t>
      </w:r>
    </w:p>
    <w:p>
      <w:pPr>
        <w:spacing w:after="60" w:line="360"/>
        <w:jc w:val="left"/>
      </w:pPr>
      <w:r>
        <w:rPr>
          <w:rFonts w:ascii="Times New Roman" w:cs="Times New Roman" w:eastAsia="Times New Roman" w:hAnsi="Times New Roman"/>
          <w:sz w:val="24"/>
          <w:szCs w:val="24"/>
        </w:rPr>
        <w:t xml:space="preserve">Table 3.3  Interpretation labels derived from combined deltas.</w:t>
      </w:r>
    </w:p>
    <w:p>
      <w:pPr>
        <w:spacing w:after="60" w:line="360"/>
        <w:jc w:val="left"/>
      </w:pPr>
      <w:r>
        <w:rPr>
          <w:rFonts w:ascii="Times New Roman" w:cs="Times New Roman" w:eastAsia="Times New Roman" w:hAnsi="Times New Roman"/>
          <w:sz w:val="24"/>
          <w:szCs w:val="24"/>
        </w:rPr>
        <w:t xml:space="preserve">Table 5.1  Experimental configuration summary.</w:t>
      </w:r>
    </w:p>
    <w:p>
      <w:pPr>
        <w:spacing w:after="60" w:line="360"/>
        <w:jc w:val="left"/>
      </w:pPr>
      <w:r>
        <w:rPr>
          <w:rFonts w:ascii="Times New Roman" w:cs="Times New Roman" w:eastAsia="Times New Roman" w:hAnsi="Times New Roman"/>
          <w:sz w:val="24"/>
          <w:szCs w:val="24"/>
        </w:rPr>
        <w:t xml:space="preserve">Table 6.1  Judge-versus-regex agreement (Cohen’s κ) by model family.</w:t>
      </w:r>
    </w:p>
    <w:p>
      <w:pPr>
        <w:spacing w:after="60" w:line="360"/>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360"/>
        <w:jc w:val="left"/>
      </w:pPr>
      <w:r>
        <w:rPr>
          <w:rFonts w:ascii="Times New Roman" w:cs="Times New Roman" w:eastAsia="Times New Roman" w:hAnsi="Times New Roman"/>
          <w:sz w:val="24"/>
          <w:szCs w:val="24"/>
        </w:rPr>
        <w:t xml:space="preserve">Table 6.3  Precision sweep: HarmBench ASR at fp16 / INT8 / NF4 (judge).</w:t>
      </w:r>
    </w:p>
    <w:p>
      <w:pPr>
        <w:spacing w:after="60" w:line="360"/>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360"/>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360"/>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360"/>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360"/>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360"/>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360"/>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360"/>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360"/>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360"/>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360"/>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360"/>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360"/>
        <w:jc w:val="both"/>
      </w:pPr>
      <w:r>
        <w:rPr>
          <w:rFonts w:ascii="Times New Roman" w:cs="Times New Roman" w:eastAsia="Times New Roman" w:hAnsi="Times New Roman"/>
          <w:sz w:val="24"/>
          <w:szCs w:val="24"/>
        </w:rPr>
        <w:t xml:space="preserve">This thesis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360"/>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360"/>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thesis’s headline, Hong et al. [8] scrutinise trustworthiness across five compression methods and eight trust dimensions and report that four-bit quantization broadly preserves trustworthiness — unlike pruning, which degrades it, and unlike more extreme three-bit compression, where erosion appears — the nearest prior analogue to the null-safety-at-four-bit picture found here, though their study covers larger models and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360"/>
        <w:jc w:val="both"/>
      </w:pPr>
      <w:r>
        <w:rPr>
          <w:rFonts w:ascii="Times New Roman" w:cs="Times New Roman" w:eastAsia="Times New Roman" w:hAnsi="Times New Roman"/>
          <w:sz w:val="24"/>
          <w:szCs w:val="24"/>
        </w:rPr>
        <w:t xml:space="preserve">HarmBench [3] provides a standardized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thesis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360"/>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thesis follows that guidance (a primary classifier, a second independent judge, κ reporting, bootstrap confidence intervals) and adds a human-label validation on a stratified 200-item subset —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360"/>
        <w:jc w:val="both"/>
      </w:pPr>
      <w:r>
        <w:rPr>
          <w:rFonts w:ascii="Times New Roman" w:cs="Times New Roman" w:eastAsia="Times New Roman" w:hAnsi="Times New Roman"/>
          <w:sz w:val="24"/>
          <w:szCs w:val="24"/>
        </w:rPr>
        <w:t xml:space="preserve">Three observations define the gap this thesis addresses. First, the quantization–safety literature reports inconsistent, method- and model-dependent effects [4]–[5],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 judge literature cautions that their reliability must itself be evaluated rather than assumed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360"/>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360"/>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360"/>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360"/>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360"/>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360"/>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thesis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360"/>
        <w:jc w:val="both"/>
      </w:pPr>
      <w:r>
        <w:rPr>
          <w:rFonts w:ascii="Times New Roman" w:cs="Times New Roman" w:eastAsia="Times New Roman" w:hAnsi="Times New Roman"/>
          <w:sz w:val="24"/>
          <w:szCs w:val="24"/>
        </w:rPr>
        <w:t xml:space="preserve">HarmBench Attack Success Rate is scored by the official HarmBench classifier (cais/HarmBench-Llama-2-13b-cls) [3] — prompted with the Hugging Face model-card template rather than the GitHub evaluation-harness variant, so absolute ASR levels are not directly harness-comparable while matched-pair deltas are unaffected — run in full precision so that the reference instrument is not itself confounded by quantization. A second, architecturally independent judge (GPT-4o; run 2026-06-14 — the API alias’s dated snapshot was not recorded, so the revision-pinned open-weight LlamaGuard third judge is the reproducible arm) re-scores the same generations as a robustness check; independent validation of judge scores is exactly what the LLM-as-judge literature urges [11], [12]. It applies a condensed one-sentence yes/no rubric that encodes the same harmful-behaviour criterion as the HarmBench classifier rather than the classifier’s full enumerated template.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deterministic regex as the primary scorer, cross-checked by an independent three-class refusal judge as a sensitivity layer (§7.2). XSTest’s own evaluation relies on LLM-based three-way labelling (full compliance / partial refusal / full refusal) rather than a released fine-tuned classifier; this study retains regex parsing as a deliberate, reproducibility-motivated deviation that yields a coarser binary refusal / non-refusal construct (the HarmBench classifier itself judges harmful compliance only, so it does not cover over-refusal), and adds the three-class judge only as a cross-check.</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360"/>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360"/>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(One reproducibility detail: the judge HarmBench ASR intervals in the 128-vs-512 comparison of §6.3 use a higher-resolution 10,000-resample paired bootstrap at the same seed; all other intervals use 2,000, and both are percentile intervals replayable from the committed sidecars.) Every HarmBench contrast is tested with McNemar’s exact paired test [16]; significance is reported both uncorrected and under a Benjamini-Hochberg false-discovery-rate correction [17] over the twenty-contrast primary family; a power analysis (Connor’s normal-approximation treatment of the paired McNemar design [18]) reports the minimum detectable effect (about 0.06 at n = 200 for the representative pair, with the five pairs spanning 0.044–0.086); and a multi-seed sensitivity arm (temperature 0.7, five seeds, all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360"/>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360"/>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360"/>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the automated test suite and an artifact-derived machine claim registry cover the schema, loaders, scorers, analysis mathematics, cluster job generator, and every registered document surface.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360"/>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360"/>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Third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Llama-Guard-3-8B (open-weight, revision-pinned)</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automated test suite + artifact-derived claim registry</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360"/>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as a local script that calls an external API, so for that cross-check the (public) HarmBench behaviour string and the model’s generation are transmitted off-cluster while the primary classifier runs entirely on TC1; only redacted identifier-and-boolean sidecars are stored.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360"/>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[19] between the regex and the classifier at the 512-token reference budget is fair-to-moderate for the Qwen and Mistral models and substantial or better for Llama and Phi (verbal bands per Landis and Koch [20]) (Table 6.1), because models that produce a large volume of ambiguous, non-refusing-but-benign text are exactly those the regex mis-scores. In aggregate the classifier’s harmful set is a near-strict subset of the regex’s (28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(slight) — against the human’s 200 labels the regex over-flagged 101 responses as harmful to the classifier’s 18, and the human, flagging 37, applied the highest bar of the three —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fair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fair, the lowest;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substantial to almost perfect;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substantial;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360"/>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160" w:line="360"/>
        <w:jc w:val="both"/>
      </w:pPr>
      <w:r>
        <w:rPr>
          <w:rFonts w:ascii="Times New Roman" w:cs="Times New Roman" w:eastAsia="Times New Roman" w:hAnsi="Times New Roman"/>
          <w:sz w:val="24"/>
          <w:szCs w:val="24"/>
        </w:rPr>
        <w:t xml:space="preserve">Exactly 3 primary contrasts survive BH-FDR: Qwen3-1.7B MMLU (−0.090, q = 0.008), Llama-3.2-3B ARC (−0.032, q = 0.008), Phi-4-mini over-refusal (−0.048, q = 0.012). No HarmBench ASR contrast survives.</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360"/>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under the primary regex scorer; an independent refusal judge does not reproduce it, and a blinded human audit finds that judge substantially better aligned with the annotator than the regex, so the decrease is most plausibly a measurement artifact of the regex scorer — §7.2), while Qwen3-1.7B’s smaller decrease is not significant on either criterion (−0.024, McNemar p = 0.109; its CI [−0.048, 0.000] touches zero). No pair becomes significantly more prone to over-refusal on benign prompts, under either scorer (RQ2).</w:t>
      </w:r>
    </w:p>
    <w:p>
      <w:pPr>
        <w:spacing w:after="160" w:line="360"/>
        <w:jc w:val="both"/>
      </w:pPr>
      <w:r>
        <w:rPr>
          <w:rFonts w:ascii="Times New Roman" w:cs="Times New Roman" w:eastAsia="Times New Roman" w:hAnsi="Times New Roman"/>
          <w:sz w:val="24"/>
          <w:szCs w:val="24"/>
        </w:rPr>
        <w:t xml:space="preserve">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360"/>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(93.5–98.0 percent for Mistral, 3.0–4.0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arm has since been extended to all five pairs. Qwen3-4B’s per-seed ΔASR mean is +0.029, range [+0.010, +0.050] (1 of 5 seeds individually significant; greedy +0.040 inside the range); Llama’s is −0.024, range [−0.040, −0.010] (2 of 5 seeds individually significant, both decreases; greedy −0.040 inside the range); Mistral’s is +0.012, range [−0.005, +0.045] (0 of 5); and Phi’s is −0.012, range [−0.055, +0.015] (1 of 5). For the two cross-family pairs the greedy estimate falls marginally outside the seed range with a sign flip — Mistral’s greedy −0.020 just below [−0.005, +0.045], Phi’s greedy +0.020 just above [−0.055, +0.015] — small, sign-unstable gaps (each ≤0.04) around seed means that are themselves near zero (Mistral +0.012, Phi −0.012), not a directional signal the greedy run missed. This is not read off a single detection floor: per-pair minimum detectable effects vary (0.044–0.086 at n = 200), and one Phi seed is itself individually significant at −0.055 (McNemar p = 0.043) — a decrease, and one of five, so it does not lift the pair-level reading. No pair shows a sign-consistent majority of individually significant seeds, so the stochastic arm corroborates the null across all five pairs.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360"/>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under that parser the dramatic within-Qwen scale gap looks partly MMLU-specific. This apparent divergence is, however, a parsing artefact rather than genuine MMLU-specificity. The option-letter parser falls back to a lenient “first in-range capital letter anywhere” scan when a response neither leads with the option letter nor states an explicit “answer is X”. For qwen_2b_4bit that fallback fires on 48.7 percent of MMLU items and 52.3 percent of ARC items, versus about 3 percent at fp16. It salvages the format-broken ARC answers more accurately (66 percent) than the MMLU ones (46 percent, against the leading-letter rule’s 75 percent), and so masks the ARC loss. Part of the −0.090 gap therefore reflects a shift in answer format that the lenient parser scores less reliably, not only lost knowledge. Under a strict parser that scores an unparsable answer incorrect, ARC falls −0.343 and MMLU −0.293 — comparable large losses on both; the ARC drop above, scored by an identical protocol for both members, thus corroborates the direction of the loss while its lenient near-zero magnitude reflects parser salvage, not immunity. Each benchmark’s loss is honestly a bracket whose lenient end tracks answer-knowledge (largely preserved, since the salvaged answers are 66 percent correct) and whose strict end tracks format-compliant answering, and answer-format parsing is a third measurement-dependence axis alongside the harm and over-refusal scorers. The capability anchor is what allows the safety deltas to be read correctly: the smallest Qwen pair is a capability story with a flat harm axis, and Llama’s harm decrease arrives together with its capability loss, so its lower ASR is more consistent with a capability side-effect than with a genuine alignment improvement. That is why it carries the capability-collapse-masquerading-as-safety label, which encodes the correlation between the two axes; the label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360"/>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[21].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360"/>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 paired per-item McNemar contrasts, none significant — far below the two multiplicity-robust NF4 losses of three to nine points,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 attributable, since Llama truncates at only 3–4 percent (§6.3), to cross-run greedy divergence on thin-margin prompts rather than to truncation —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360"/>
        <w:jc w:val="both"/>
      </w:pPr>
      <w:r>
        <w:rPr>
          <w:rFonts w:ascii="Times New Roman" w:cs="Times New Roman" w:eastAsia="Times New Roman" w:hAnsi="Times New Roman"/>
          <w:sz w:val="24"/>
          <w:szCs w:val="24"/>
        </w:rPr>
        <w:t xml:space="preserve">With 200 HarmBench prompts the confidence intervals are wide (about ±0.05), and a power analysis [18] makes the detection floor explicit: at n = 200 and the observed discordant rates, the minimum detectable ΔASR for 80 percent power is about 0.06 at the representative (median-discordant) pair, with the five pairs spanning 0.044–0.086. The predominance of nulls on the safety axis is therefore a power-bounded null (“no detectable change at n = 200”), not a proven zero, and the multi-seed sign-consistency for the smallest pair (§6.3) is compatible with a real effect below that floor.</w:t>
      </w:r>
    </w:p>
    <w:p>
      <w:pPr>
        <w:spacing w:after="160" w:line="360"/>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Not one HarmBench ASR contrast survives, including Llama’s individually significant decrease. The two capability survivors rest on deterministic exact-match scoring (MMLU and ARC parse an option letter; no refusal scorer is involved); the over-refusal survivor is regex-scored, and both an independent refusal judge (which does not reproduce it) and the completed human refusal audit (§7.2) mark it as most plausibly a measurement artifact of that regex. The multiplicity-robust signal of four-bit NF4 is therefore capability degradation, plus one benign-direction over-refusal change that does not survive an independent scorer, and never a safety regression. This is the thesis’s headline empirical claim.</w:t>
      </w:r>
    </w:p>
    <w:p>
      <w:pPr>
        <w:spacing w:after="160" w:line="360"/>
        <w:jc w:val="both"/>
      </w:pPr>
      <w:r>
        <w:rPr>
          <w:rFonts w:ascii="Times New Roman" w:cs="Times New Roman" w:eastAsia="Times New Roman" w:hAnsi="Times New Roman"/>
          <w:sz w:val="24"/>
          <w:szCs w:val="24"/>
        </w:rPr>
        <w:t xml:space="preserve">Because the over-refusal member of every contrast above is regex-scored, and the §7.2 human audit subsequently found that scorer poorly aligned with a blinded human annotator on this construct, a validation-informed parallel correction is also reported — clearly labelled post-hoc, added after both scorers’ results were known, with its composition fixed in a dated pre-analysis note before it was computed (docs/VALIDATION_INFORMED_FAMILY_NOTE.md). It recomputes the identical twenty-contrast family with a single change: the five over-refusal contrasts are scored by the independent three-class judge under the strict mapping, the replication definition pre-registered in the judge-validation protocol; the other fifteen p-values are reused verbatim, and the same Benjamini-Hochberg procedure is applied at the same threshold. Under the original registered analysis, exactly three contrasts survive BH-FDR (Qwen3-1.7B MMLU (−0.090, q = 0.008), Llama-3.2-3B ARC (−0.032, q = 0.008), Phi-4-mini over-refusal (−0.048, q = 0.012)); under the validation-informed parallel analysis — identical except that over-refusal is scored by the independent judge under the strict mapping — two survive: Qwen3-1.7B MMLU (q = 0.008), Llama-3.2-3B ARC (q = 0.008), both capability effects. The third registered survivor (Phi-4-mini over-refusal, regex-scored) is retained only as the original scorer-of-record finding and is most plausibly a measurement artifact of that scorer. The parallel family is purely deflationary — no contrast becomes significant that was not already — and the original regex-scored family above remains the pre-specified family of record for traceability. The substantive RQ2 conclusion is therefore carried in the scorer-invariant form: no scorer finds a statistically significant over-refusal increase in any pair (point estimates do move upward in places — the judge-strict Qwen3-1.7B +0.040 is the largest, McNemar p = 0.087 — but none reaches significance under either scorer). Per-contrast values are in results_512/analysis/multiple_comparisons_judge_strict.json.</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 no scorer finds a statistically significant over-refusal increase in any pair, and the only exact-test-significant change is a regex-scored decrease that the human-grounded judge marks as most plausibly a measurement artifact (RQ2); capability loss is real, modest, partly benchmark-specific, and the only class of effect that robustly survives multiplicity correction under either scoring of the family, the one over-refusal survivor being most plausibly a regex measurement artifact (RQ3); the smallest model is the most capability-sensitive but shows no genuine safety shift once truncation is controlled (RQ4); and the cross-family, cross-precision picture is a consistent power-bounded null on safety with a capability cliff at four-bit (RQ5). This picture is consistent with the one prior study that likewise isolates four-bit quantization — Hong et al. [8], across a broader trust taxonomy and larger models — which reports that four-bit compression broadly preserves trustworthiness; the matched-pair capability anchor and classifier-validated scorer used here sharpen that observation into a per-pair separation of capability change from alignment change.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360"/>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360"/>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0.68–0.95 across all ten models at the reference budget) shows the finding is not an artefact of one classifier. A stratified human-label audit (200 items, single annotator — the author —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and the annotation view was capped at the first 2,000 characters of each response while the scorers saw the full text, which plausibly inflates measured disagreement, though the direction is not strictly identified, since a harmful-looking prefix followed by a benign completion cuts the other way. The residual is honestly bounded — κ 0.59 is moderate, not near-perfect, and rests on one annotator, so a second annotator with an inter-rater κ is the remaining strengthening. A third, open-weight judge — Llama-Guard-3-8B [22], revision-pinned — re-scored the 200 HarmBench generations of all fifteen aliases in the three-precision study (0 parse errors). Over the ten base/NF4 aliases of the primary study it agrees with the primary classifier at Cohen’s κ 0.36–0.92 per alias (highest for Llama, 0.89/0.92; lowest for Phi, 0.36/0.38); every per-pair Llama-Guard ΔASR is non-significant (the largest, Qwen3-1.7B’s −0.050 at McNemar p = 0.076, is a decrease); and the two scorers’ per-pair deltas agree in sign wherever the classifier delta is nonzero. This retires the reproducibility caveat that the cross-check rested solely on a versioned proprietary API snapshot. One construct boundary is stated plainly: Llama-Guard answers a looser question (“is this response unsafe?”) than the classifier (“is this generation an instance of the specific harmful behaviour?”), so where it disagrees — the low Phi κ — the divergence is expected and non-diagnostic; it is a reproducibility cross-check, not a second construct-validity oracle.</w:t>
      </w:r>
    </w:p>
    <w:p>
      <w:pPr>
        <w:spacing w:after="160" w:line="360"/>
        <w:jc w:val="both"/>
      </w:pPr>
      <w:r>
        <w:rPr>
          <w:rFonts w:ascii="Times New Roman" w:cs="Times New Roman" w:eastAsia="Times New Roman" w:hAnsi="Times New Roman"/>
          <w:sz w:val="24"/>
          <w:szCs w:val="24"/>
        </w:rPr>
        <w:t xml:space="preserve">Over-refusal remains regex-scored, a known weaker construct; the single over-refusal contrast that survives multiplicity correction (Phi-4-mini’s −0.048 decrease) therefore inherits that same weaker-construct status. To test that survivor for scorer-robustness — the same question the classifier settled for HarmBench — the 3,750 saved benign XSTest responses were re-scored by an independent three-class refusal judge (GPT-4o, pinned dated snapshot, temperature 0, zero parse failures) applying the XSTest paper’s own full-compliance / partial-refusal / full-refusal taxonomy [9], as a sensitivity layer that leaves the regex primary and the multiplicity family unchanged. The judge does not reproduce the −0.048 decrease: Phi’s judge ΔOR is +0.016 (strict, direction reversed; McNemar p = 0.597) or −0.004 (broad; p = 1.000), neither significant, and the two scorers agree only poorly-to-moderately on benign over-refusal (Cohen κ −0.01 to 0.50 across the ten base/NF4 aliases of the primary study, with the judge counting roughly four times as many refusals). The one multiplicity-robust over-refusal contrast is therefore scorer-dependent, and a completed pre-registered human audit resolves which scorer to weight. All 200 items of a gold set drawn from the same saved responses — deliberately over-sampling the regex-versus-judge disagreements (120 of 200), presentation-shuffled and label-blind — were labelled by a single human annotator (the author) under the same three-class XSTest taxonomy the judge applies. The read-off, locked in a pre-registered outcome matrix before any label existed, gives a mechanical Outcome J: the judge aligns substantially better with the annotator than the regex — strict-mapping Cohen’s κ 0.485 versus −0.006, broad-mapping 0.662 versus 0.054. One protocol deviation is disclosed rather than glossed (pre-registration §8): the blindness exclusion was applied prompt-wide — the five quoted prompts removed from all ten aliases — instead of to the ≤10 pre-specified (alias, prompt) items, which under the pre-registration’s strict letter voids the clean confirmatory badge, so this is reported as an Outcome-J–consistent validation carrying one disclosed deviation rather than a clean pre-registered confirmation. The deviation was fixed in code before the draw and before any label existed, is blindness-conservative (it removes more potential priming, never less), and its footprint is bounded: a no-exclusion counterfactual draw overlaps the labelled set on 186 of 200 items (so at most 14 were displaced), and on those shared items the strict κ gap is +0.51, as large as the full-sample +0.49, so the judge-grounded reading does not depend on the deviation-specific items. The two failure modes are asymmetric in kind: the regex detected 2 of the annotator’s 63 full refusals (the missed refusals are typically long, polite, lecture-style declinations carrying none of the template phrases), whereas the judge caught 61 of 63 and errs by over-flagging, with its over-flags concentrated on the genuinely subjective partial-versus-full boundary (three-class exact agreement 0.695). Three bounds are disclosed plainly: these labels are a blinded single-annotator reference set, not ground truth; the draw is disagreement-enriched, so the κ values are a contested-slice contrast and no population over-refusal rate or ΔOR is estimated from them; and the shared benchmark taxonomy structurally favours a semantic judge over a phrase-matcher, while the pre-registered no-swap rule was locked before the judge results existed but after the regex results were known — a timing disclosed rather than argued from. The regex accordingly remains the original pre-specified scorer-of-record and the registered multiplicity family is unchanged, but the Phi-4-mini −0.048 contrast is carried as most plausibly a measurement artifact of the regex scorer, with the §6.7 validation-informed parallel family giving that reading a multiplicity-controlled footing (two survivors, both capability effects). The committed aggregate is results_512/analysis/xstest_human_validation.json (counts and rates only), with a redacted per-item audit trail in results_512/analysis/xstest_human_validation_items.jsonl (IDs and labels only); the annotation sheet holds raw text and stays local; a second annotator with an inter-rater κ is the residual strengthening, exactly as for the harmful-compliance audit. This extends the thesis’s central scorer-sensitivity message from the harmful-compliance axis to the over-refusal axis. A second construct boundary is the threat model: the safety axis measures harmful compliance under direct requests only, with no attack augmentation, so the null does not speak to adversarial settings, whether optimised jailbreak attacks [5] or quantization-targeted poisoning that surfaces only after quantization [7], which is precisely where prior quantization-safety work reports effects.</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360"/>
        <w:jc w:val="both"/>
      </w:pPr>
      <w:r>
        <w:rPr>
          <w:rFonts w:ascii="Times New Roman" w:cs="Times New Roman" w:eastAsia="Times New Roman" w:hAnsi="Times New Roman"/>
          <w:sz w:val="24"/>
          <w:szCs w:val="24"/>
        </w:rPr>
        <w:t xml:space="preserve">External validity is bounded by five pairs, one decoding regime (greedy primary, with a five-pair multi-seed arm; the two Qwen3 pairs run in non-default non-thinking mode, with the quantization × thinking-mode interaction untested),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at the representative pair; 0.044–0.086 across the five),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360"/>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360"/>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at the representative pair (0.044–0.086 across the five), so effects below that floor cannot be ruled out (the smallest pair’s multi-seed sign-consistency is compatible with one).</w:t>
      </w:r>
    </w:p>
    <w:p>
      <w:pPr>
        <w:pStyle w:val="ListParagraph"/>
        <w:numPr>
          <w:ilvl w:val="0"/>
          <w:numId w:val="3"/>
        </w:numPr>
        <w:spacing w:after="80" w:line="360"/>
      </w:pPr>
      <w:r>
        <w:rPr>
          <w:rFonts w:ascii="Times New Roman" w:cs="Times New Roman" w:eastAsia="Times New Roman" w:hAnsi="Times New Roman"/>
          <w:sz w:val="24"/>
          <w:szCs w:val="24"/>
        </w:rPr>
        <w:t xml:space="preserve">Decoding: the primary results condition on a single greedy decode; the multi-seed sensitivity arm now covers all five pairs (five seeds each at temperature 0.7) and corroborates the null, with one disclosed wrinkle: for Mistral and Phi the greedy estimate falls marginally outside the seed range with a sign flip (small noise around zero), so the greedy point is not everywhere inside the stochastic range.</w:t>
      </w:r>
    </w:p>
    <w:p>
      <w:pPr>
        <w:pStyle w:val="ListParagraph"/>
        <w:numPr>
          <w:ilvl w:val="0"/>
          <w:numId w:val="3"/>
        </w:numPr>
        <w:spacing w:after="80" w:line="360"/>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and the XSTest refusal judge is likewise grounded by a completed 200-item blinded audit (judge strict κ 0.485 vs regex −0.006, a mechanical Outcome J carried with one disclosed protocol deviation, prereg §8); both groundings rest on a single annotator, so a second annotator for an inter-rater κ remains the strengthening on both axes; an open-weight third judge (Llama-Guard-3-8B) additionally makes the HarmBench cross-check revision-pinned and locally rerunnable, though it scores a looser construct (§7.2).</w:t>
      </w:r>
    </w:p>
    <w:p>
      <w:pPr>
        <w:pStyle w:val="ListParagraph"/>
        <w:numPr>
          <w:ilvl w:val="0"/>
          <w:numId w:val="3"/>
        </w:numPr>
        <w:spacing w:after="80" w:line="360"/>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360"/>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3–4 percent).</w:t>
      </w:r>
    </w:p>
    <w:p>
      <w:pPr>
        <w:pStyle w:val="ListParagraph"/>
        <w:numPr>
          <w:ilvl w:val="0"/>
          <w:numId w:val="3"/>
        </w:numPr>
        <w:spacing w:after="80" w:line="360"/>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its effect is matched across the pair by construction, and the full-response classifier still scores any harmful content a continuation might contain. Stopping at the chat turn-end token is a straightforward fix for future runs.</w:t>
      </w:r>
    </w:p>
    <w:p>
      <w:pPr>
        <w:pStyle w:val="ListParagraph"/>
        <w:numPr>
          <w:ilvl w:val="0"/>
          <w:numId w:val="3"/>
        </w:numPr>
        <w:spacing w:after="80" w:line="360"/>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360"/>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360"/>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validations on both axes — HarmBench harmful compliance (classifier κ 0.59 vs regex 0.11 against human labels) and the XSTest refusal gold set, now completed as well (200 items, blinded, a mechanical Outcome J carried with one disclosed protocol deviation, prereg §8: the judge aligns substantially better with the annotator than the regex). The open-weight guard-model cross-check (Llama Guard [22]) has since been run as a third judge (§7.2), so the residual on that axis is the annotator, not the instrument.</w:t>
      </w:r>
    </w:p>
    <w:p>
      <w:pPr>
        <w:pStyle w:val="ListParagraph"/>
        <w:numPr>
          <w:ilvl w:val="0"/>
          <w:numId w:val="4"/>
        </w:numPr>
        <w:spacing w:after="80" w:line="360"/>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that is most plausibly a measurement artifact of the regex scorer — not reproduced by an independent refusal judge that a blinded human audit finds substantially better aligned with the annotator, and absent from the validation-informed parallel correction, under which only the two capability losses survive. Capability degradation is a clean cliff at four-bit, is budget-invariant, and is the robust cost of NF4 in this regime.</w:t>
      </w:r>
    </w:p>
    <w:p>
      <w:pPr>
        <w:spacing w:after="160" w:line="360"/>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IEEE Access, vol. 14, pp. 96771–96793, 2026, doi: 10.1109/ACCESS.2026.3703899. arXiv:2502.15799.</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[17] Y. Benjamini and Y. Hochberg, “Controlling the false discovery rate: A practical and powerful approach to multiple testing,” Journal of the Royal Statistical Society: Series B (Methodological), vol. 57, no. 1, pp. 289–300, 1995.</w:t>
      </w:r>
    </w:p>
    <w:p>
      <w:pPr>
        <w:spacing w:after="90" w:line="264"/>
        <w:ind w:left="400" w:hanging="400"/>
      </w:pPr>
      <w:r>
        <w:rPr>
          <w:rFonts w:ascii="Times New Roman" w:cs="Times New Roman" w:eastAsia="Times New Roman" w:hAnsi="Times New Roman"/>
          <w:sz w:val="22"/>
          <w:szCs w:val="22"/>
        </w:rPr>
        <w:t xml:space="preserve">[18] R. J. Connor, “Sample size for testing differences in proportions for the paired-sample design,” Biometrics, vol. 43, no. 1, pp. 207–211, 1987.</w:t>
      </w:r>
    </w:p>
    <w:p>
      <w:pPr>
        <w:spacing w:after="90" w:line="264"/>
        <w:ind w:left="400" w:hanging="400"/>
      </w:pPr>
      <w:r>
        <w:rPr>
          <w:rFonts w:ascii="Times New Roman" w:cs="Times New Roman" w:eastAsia="Times New Roman" w:hAnsi="Times New Roman"/>
          <w:sz w:val="22"/>
          <w:szCs w:val="22"/>
        </w:rPr>
        <w:t xml:space="preserve">[19] J. Cohen, “A coefficient of agreement for nominal scales,” Educational and Psychological Measurement, vol. 20, no. 1, pp. 37–46, 1960.</w:t>
      </w:r>
    </w:p>
    <w:p>
      <w:pPr>
        <w:spacing w:after="90" w:line="264"/>
        <w:ind w:left="400" w:hanging="400"/>
      </w:pPr>
      <w:r>
        <w:rPr>
          <w:rFonts w:ascii="Times New Roman" w:cs="Times New Roman" w:eastAsia="Times New Roman" w:hAnsi="Times New Roman"/>
          <w:sz w:val="22"/>
          <w:szCs w:val="22"/>
        </w:rPr>
        <w:t xml:space="preserve">[20] J. R. Landis and G. G. Koch, “The measurement of observer agreement for categorical data,” Biometrics, vol. 33, no. 1, pp. 159–174, 1977.</w:t>
      </w:r>
    </w:p>
    <w:p>
      <w:pPr>
        <w:spacing w:after="90" w:line="264"/>
        <w:ind w:left="400" w:hanging="400"/>
      </w:pPr>
      <w:r>
        <w:rPr>
          <w:rFonts w:ascii="Times New Roman" w:cs="Times New Roman" w:eastAsia="Times New Roman" w:hAnsi="Times New Roman"/>
          <w:sz w:val="22"/>
          <w:szCs w:val="22"/>
        </w:rPr>
        <w:t xml:space="preserve">[21] I. Proskurina, L. Brun, G. Metzler, and J. Velcin, “When quantization affects confidence of large language models?,” in Findings of NAACL, 2024. arXiv:2405.00632.</w:t>
      </w:r>
    </w:p>
    <w:p>
      <w:pPr>
        <w:spacing w:after="90" w:line="264"/>
        <w:ind w:left="400" w:hanging="400"/>
      </w:pPr>
      <w:r>
        <w:rPr>
          <w:rFonts w:ascii="Times New Roman" w:cs="Times New Roman" w:eastAsia="Times New Roman" w:hAnsi="Times New Roman"/>
          <w:sz w:val="22"/>
          <w:szCs w:val="22"/>
        </w:rPr>
        <w:t xml:space="preserve">[22]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[23]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[24]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[25]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[26]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360"/>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[23]: models and algorithms are described (Chapters 3–4);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[24], [25]) and is packaged for reuse in line with open-source-software peer-review norms [26].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340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360"/>
        <w:jc w:val="both"/>
      </w:pPr>
      <w:r>
        <w:rPr>
          <w:rFonts w:ascii="Times New Roman" w:cs="Times New Roman" w:eastAsia="Times New Roman" w:hAnsi="Times New Roman"/>
          <w:sz w:val="24"/>
          <w:szCs w:val="24"/>
        </w:rPr>
        <w:t xml:space="preserve">The framework ships an automated verification suite across the schema, loaders (including the fail-loud quantization guard), scorers, analysis mathematics, the SLURM generator, and the registered document surfaces. The artifact-derived claim registry and claim checker bind load-bearing tables, captions, deck data, and recurring prose to results_512/analysis/, while a checksum manifest pins immutable raw artefacts. The live test inventory is obtained from pytest rather than copied into the thesis.</w:t>
      </w:r>
    </w:p>
    <w:sectPr>
      <w:headerReference w:type="default" r:id="rId7"/>
      <w:footerReference w:type="default" r:id="rId8"/>
      <w:pgSz w:w="11906" w:h="16838" w:orient="portrait"/>
      <w:pgMar w:top="1273" w:right="1273" w:bottom="1273"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2026-07-21T18:16:03.705Z</dcterms:created>
  <dcterms:modified xsi:type="dcterms:W3CDTF">2026-07-21T18:16:03.706Z</dcterms:modified>
</cp:coreProperties>
</file>

<file path=docProps/custom.xml><?xml version="1.0" encoding="utf-8"?>
<Properties xmlns="http://schemas.openxmlformats.org/officeDocument/2006/custom-properties" xmlns:vt="http://schemas.openxmlformats.org/officeDocument/2006/docPropsVTypes"/>
</file>