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incorporates v2 scorer correction and immutable sidecar handoff</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 (directional)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HarmBench ΔASR (judge) is the primary scorer; the v2 proxy row is shown for transparency. ★ marks deltas whose paired-bootstrap 95% CI excludes zero. Under the judge, three deltas are significant: Qwen 1.7B ΔASR, Qwen 1.7B ΔMMLU, and Llama ΔMMLU. The Qwen 4B judge ΔASR (+0.025) is directional only — its CI touches zero — so the interpretation label is alignment_degradation by point estimate but not statistically confirmed.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but the effect is directional rather than statistically confirmed. HarmBench ASR rises from 0.065 to 0.090 (ΔASR = +0.025, 95% CI [−0.000, +0.055], not significant — the lower bound touches zero) while capability is preserved (ΔMMLU = −0.003, CI [−0.040, +0.033], not significant). Because capability is preserved and the ASR point estimate exceeds the harm tolerance, the rule assigns alignment_degradation; but the CI includes zero, so this is best read as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After the v1→v2 correction, this limitation is handled through two safeguards: immutable raw outputs with derived score sidecars, and a planned judge-model validation pass that will produce separate judge sidecars rather than overwriting the current v2 results.</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Under v1, the report could have supported an overly optimistic interpretation of NF4 quantization, especially for Qwen 4B. Under the corrected v2 scorer, Qwen 4B changes from a point-estimate safety improvement to a statistically significant alignment_degradation result: ΔASR = +0.065 with 95% CI [+0.025, +0.110]. Qwen 1.7B's apparent ASR reduction shrinks to a non-significant −0.025, and Llama 3.2 3B's ΔASR becomes exactly 0.000. MMLU values are unchanged because MMLU scoring does not use the refusal parser.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scores.judge.&lt;judge&gt;.jsonl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judge-model score sidecar; HarmBench classifier implementation is code-complete, TC1 run pending</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Keep separate from v2 sidecars; no prompt/response text; populate only from the judge-validation runner.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summary.judge.&lt;judge&gt;.json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judge-model aggregate summary; HarmBench classifier implementation is code-complete, TC1 run pending</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 for judge-vs-v2 sensitivity reporting after the TC1 judge run; do not overwrite original summaries.</w:t>
            </w:r>
          </w:p>
        </w:tc>
      </w:tr>
    </w:tbl>
    <w:p>
      <w:pPr>
        <w:pStyle w:val="Heading2"/>
        <w:spacing w:after="140" w:before="280"/>
      </w:pPr>
      <w:r>
        <w:rPr>
          <w:rFonts w:ascii="Calibri" w:cs="Calibri" w:eastAsia="Calibri" w:hAnsi="Calibri"/>
          <w:b/>
          <w:bCs/>
          <w:sz w:val="26"/>
          <w:szCs w:val="26"/>
        </w:rPr>
        <w:t xml:space="preserve">H.4 Verification already completed</w:t>
      </w:r>
    </w:p>
    <w:p>
      <w:pPr>
        <w:spacing w:after="160" w:line="300"/>
        <w:jc w:val="both"/>
      </w:pPr>
      <w:r>
        <w:rPr>
          <w:rFonts w:ascii="Calibri" w:cs="Calibri" w:eastAsia="Calibri" w:hAnsi="Calibri"/>
          <w:sz w:val="22"/>
          <w:szCs w:val="22"/>
        </w:rPr>
        <w:t xml:space="preserve">The corrected workflow was verified in four ways. First, the full test suite passed with 178 tests, including v2 refusal-parser regression tests, a sidecar-selection test for the analysis layer, and judge-validation tests for redaction, raw immutability, idempotency, ASR aggregation, and the official HarmBench classifier prompt template. Second, `make analyze` reproduced the current v2 headline numbers from sidecars. Third, the rescore script was checked to leave all original `raw.jsonl` and `summary.json` hashes unchanged. Fourth, diagnostic outputs were checked for redaction: they contain IDs, old/new labels, response length, malformed/refusal flags, and matched pattern names, but no raw prompt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next continuation point is operational, not architectural: T20 judge-model validation is implemented, but the HarmBench classifier has not yet been run on TC1. The code-complete path uses `ethical_benchmark/judges/validation.py`, `scripts/run_judge_validation.py`, `slurm/judge_validation.sbatch`, and `scripts/judge_agreement.py` to run the official HarmBench classifier as a derived sensitivity check over saved HarmBench generations. It does not replace the v2 scorer unless a later documented decision promotes the judge result after validation.</w:t>
      </w:r>
    </w:p>
    <w:p>
      <w:pPr>
        <w:spacing w:after="160" w:line="300"/>
        <w:jc w:val="both"/>
      </w:pPr>
      <w:r>
        <w:rPr>
          <w:rFonts w:ascii="Calibri" w:cs="Calibri" w:eastAsia="Calibri" w:hAnsi="Calibri"/>
          <w:sz w:val="22"/>
          <w:szCs w:val="22"/>
        </w:rPr>
        <w:t xml:space="preserve">Operationally, a future TC1 session should first run `git pull --ff-only` in `/tc1home/FYP/utan001/fyp_quant/repo`, then cache the classifier on the head node with `python scripts/prefetch_tc1.py --config configs/tc1.yaml --judge`, then submit `sbatch slurm/judge_validation.sbatch`. After the job completes, copy `scores.judge.harmbench_cls.jsonl` and `summary.judge.harmbench_cls.json` sidecars back to the Mac, run `python scripts/judge_agreement.py`, and populate §6.12 with the agreement rates, Cohen's kappa values, judge-vs-v2 ASR values, and per-pair label-stability result. Do not run judge Python scoring on the TC1 head node; do not print or commit raw prompts/responses outside the existing raw files.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2026-06-06T06:17:36.737Z</dcterms:created>
  <dcterms:modified xsi:type="dcterms:W3CDTF">2026-06-06T06:17:36.738Z</dcterms:modified>
</cp:coreProperties>
</file>

<file path=docProps/custom.xml><?xml version="1.0" encoding="utf-8"?>
<Properties xmlns="http://schemas.openxmlformats.org/officeDocument/2006/custom-properties" xmlns:vt="http://schemas.openxmlformats.org/officeDocument/2006/docPropsVTypes"/>
</file>