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 To begin addressing this, a second capability benchmark (ARC-Challenge) has been implemented as a plugin with the same exact-match scoring but a structurally different, reasoning-oriented question distribution; running it on the matched pairs will turn the capability anchor into a two-benchmark composite (run pending — see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Second capability benchmark (run pending). The alignment-vs-capability disambiguation currently rests on a single 300-question MMLU subset. An ARC-Challenge plugin (allenai/ai2_arc, ~1,172 reasoning-oriented science questions, same exact-match scoring as MMLU) is now implemented and wired into the config, the analysis pipeline (which emits an ARC ΔACC with the same paired-bootstrap CI), and per-model TC1 sbatch; running it makes capability a two-benchmark composite and tests whether the MMLU-based capability claims (the −8.7 pp Qwen 1.7B and −4.3 pp Llama drops, and the Qwen 4B preservation that gates its label) replicate under a structurally different benchmark. ARC writes to results/&lt;model&gt;/arc/ and does not touch the existing artifacts.</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2026-06-14T11:06:02.834Z</dcterms:created>
  <dcterms:modified xsi:type="dcterms:W3CDTF">2026-06-14T11:06:02.835Z</dcterms:modified>
</cp:coreProperties>
</file>

<file path=docProps/custom.xml><?xml version="1.0" encoding="utf-8"?>
<Properties xmlns="http://schemas.openxmlformats.org/officeDocument/2006/custom-properties" xmlns:vt="http://schemas.openxmlformats.org/officeDocument/2006/docPropsVTypes"/>
</file>