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24 May 2026</w:t>
      </w:r>
    </w:p>
    <w:p>
      <w:pPr>
        <w:jc w:val="center"/>
      </w:pPr>
      <w:r>
        <w:rPr>
          <w:rFonts w:ascii="Calibri" w:cs="Calibri" w:eastAsia="Calibri" w:hAnsi="Calibri"/>
          <w:i/>
          <w:iCs/>
          <w:color w:val="555555"/>
          <w:sz w:val="20"/>
          <w:szCs w:val="20"/>
        </w:rPr>
        <w:t xml:space="preserve">Revision: incorporates TC1 user-guide policy review</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Qwen3.5-text-2B, Qwen3.5-text-4B,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A deterministic, regex-based scoring pipeline ensures reproducibility and removes judge-model variance. Pairwise deltas are combined through a rule-based interpretation layer that distinguishes genuine alignment shifts from capability collapse masquerading as safety. The benchmarking framework, three benchmark plugins, cluster job orchestration for the NTU TC1 GPU cluster, and a verification suite of 122 tests are complete; experimental runs are pending submission. This document records the full design, implementation, intended analysis, and limitations of the study.</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reporting schema.</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four diagnostic labels: alignment degradation, capability collapse masquerading as safety,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122 automated tests across twelve test files, covering schema validation, dataset loaders, the refusal parser, SLURM job generation, matrix reuse behaviour, and analysis logic.</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intended results and analysis plan; experimental runs are pending and will populate this chapter in the final report.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have flagged that PTQ can degrade alignment behaviour, and an emerging line of research proposes safety-preserving quantization methods explicitly designed to mitigate these effects. Importantly, most existing quantization studies evaluate either perplexity or general capability, with safety considered (if at all) as a separate axis rather than jointly with capability.</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two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techwithsergiu/Qwen3.5-text-2B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techwithsergiu/Qwen3.5-text-2B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techwithsergiu/Qwen3.5-text-4B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techwithsergiu/Qwen3.5-text-4B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(allenai/xstest-response,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400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XSTest is the canonical over-refusal benchmark; the benign-only subset of the allenai/xstest-response dataset is used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four rule-based interpretation labels. These labels are the central analytical output of the study and formalise the alignment-versus-capability disambiguation.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&gt; 0  AND  ΔMMLU ≈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weakens refusal behaviour without affecting capability — a true alignment shift.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  AND  ΔOverRefusal &gt; 0  AND  ΔMMLU &lt;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and over-refusal;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three deltas small in magnitude</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preserves both safety and capability — the desired outcome.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&gt; 0  AND  ΔOverRefusal &gt; 0  AND  ΔMMLU &lt;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degrades the model along all measured axes.</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122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the per-prompt schema validator, the resume-helper functions, the refusal-parser regex correctness, and the SLURM job generator including the per-benchmark and per-model grouping modes. All 122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user-level concurrency is capped at two simultaneous jobs by the MaxJobsPU policy.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(concurrent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122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checkpoints under the techwithsergiu namespace and require no authentication. The Llama pair, by contrast, uses meta-llama/Llama-3.2-3B-Instruct, which is gated under the Meta Llama community license. Access requires a Hugging Face account to have accepted the relevant model license and a personal access token to be available on TC1. The token is registered once on the head node via huggingface-cli login, which writes to ~/.cache/huggingface/token; subsequent SLURM jobs inherit this token through the shared home directory mount.</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huggingface-cli login has registered the user's HF token: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huggingface-cli login                # one-time, for Llama gating</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three datasets (HarmBench, XSTest, and the six MMLU subjects, approximately ten megabytes total) and three model repositories (Qwen 2B, Qwen 4B, Llama 3.2 3B, totalling approximately twenty gigabytes).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fifteen-minute walltime, qwen_2b_base on HarmBench) to verify that the offline-cache path works end-to-end on a real compute node. Per the user guide's guidance to prefer sbatch over srun, this smoke verification is performed as a regular SLURM job rather than an interactive session. Only after the smoke job produces a clean summary.json is the full six-job matrix submitted.</w:t>
      </w:r>
    </w:p>
    <w:p>
      <w:pPr>
        <w:spacing w:after="160" w:line="300"/>
        <w:jc w:val="both"/>
      </w:pPr>
      <w:r>
        <w:rPr>
          <w:rFonts w:ascii="Calibri" w:cs="Calibri" w:eastAsia="Calibri" w:hAnsi="Calibri"/>
          <w:sz w:val="22"/>
          <w:szCs w:val="22"/>
        </w:rPr>
        <w:t xml:space="preserve">With MaxJobsPU=2 enforced by the cluster policy, the six jobs are processed in three sequential pairs in the worst case, yielding an expected end-to-end wall time of approximately one to two days assuming each job completes well within the six-hour budget. The six-hour walltime is intentionally generous; smoke profiling on local hardware suggests that the per-model matrix is likely to complete in two to four hours on a single Tesla V100 32 GB at the configured sample budgets, leaving substantial headroom for unexpected slowdowns.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Intended Results and Analysis Plan</w:t>
      </w:r>
    </w:p>
    <w:p>
      <w:pPr>
        <w:spacing w:after="160" w:line="300"/>
        <w:jc w:val="both"/>
      </w:pPr>
      <w:r>
        <w:rPr>
          <w:rFonts w:ascii="Calibri" w:cs="Calibri" w:eastAsia="Calibri" w:hAnsi="Calibri"/>
          <w:sz w:val="22"/>
          <w:szCs w:val="22"/>
        </w:rPr>
        <w:t xml:space="preserve">Experimental runs are pending submission on TC1 at the time of this interim report. This chapter documents the analysis plan and the structure into which the results will be slotted once the runs complete.</w:t>
      </w:r>
    </w:p>
    <w:p>
      <w:pPr>
        <w:pStyle w:val="Heading2"/>
        <w:spacing w:after="140" w:before="280"/>
      </w:pPr>
      <w:r>
        <w:rPr>
          <w:rFonts w:ascii="Calibri" w:cs="Calibri" w:eastAsia="Calibri" w:hAnsi="Calibri"/>
          <w:b/>
          <w:bCs/>
          <w:sz w:val="26"/>
          <w:szCs w:val="26"/>
        </w:rPr>
        <w:t xml:space="preserve">6.1 Reporting Schema</w:t>
      </w:r>
    </w:p>
    <w:p>
      <w:pPr>
        <w:spacing w:after="160" w:line="300"/>
        <w:jc w:val="both"/>
      </w:pPr>
      <w:r>
        <w:rPr>
          <w:rFonts w:ascii="Calibri" w:cs="Calibri" w:eastAsia="Calibri" w:hAnsi="Calibri"/>
          <w:sz w:val="22"/>
          <w:szCs w:val="22"/>
        </w:rPr>
        <w:t xml:space="preserve">For each of the three pairs, the final report will present a single results table summarising baseline and four-bit metric values, their absolute and relative deltas, and the interpretation label. The schema is shown in Table 6.1.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600"/>
        <w:gridCol w:w="1900"/>
        <w:gridCol w:w="1700"/>
        <w:gridCol w:w="1700"/>
        <w:gridCol w:w="1230"/>
        <w:gridCol w:w="1230"/>
      </w:tblGrid>
      <w:tr>
        <w:trPr>
          <w:tblHeader/>
        </w:trPr>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 (95% CI)</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 (95% CI)</w:t>
            </w:r>
          </w:p>
        </w:tc>
        <w:tc>
          <w:tcPr>
            <w:tcW w:type="dxa" w:w="123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ΔAbsolute</w:t>
            </w:r>
          </w:p>
        </w:tc>
        <w:tc>
          <w:tcPr>
            <w:tcW w:type="dxa" w:w="123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ΔRelative</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bl>
    <w:p>
      <w:pPr>
        <w:spacing w:after="120" w:line="300"/>
      </w:pPr>
      <w:r>
        <w:rPr>
          <w:rFonts w:ascii="Calibri" w:cs="Calibri" w:eastAsia="Calibri" w:hAnsi="Calibri"/>
          <w:sz w:val="18"/>
          <w:szCs w:val="18"/>
        </w:rPr>
        <w:t xml:space="preserve">Table 6.1  Per-pair reporting schema. The (pending) cells will be populated by the TC1 runs.</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The within-family scale analysis will compare the three deltas (ΔASR, Δover-refusal, ΔMMLU) computed for the qwen_2b pair against those computed for the qwen_4b pair. Two specific patterns are expected to be observable. If the smaller model is more sensitive to compression, the absolute magnitude of its deltas should be systematically larger across the three axes. If the deltas are comparable, the conclusion will be that within this regime (two to four billion parameters), quantization effects are scale-invariant.</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across all three benchmarks?) and approximate magnitude (are the Llama deltas similar in scale, smaller, or larger?). Because the two families differ in tokenizer, training data, and alignment recipe, this comparison is descriptive: it can rule out or support cross-family generalisation of the within-Qwen findings but cannot make strong causal claims about quantization-family interactions.</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Four canonical outcomes are tracked:</w:t>
      </w:r>
    </w:p>
    <w:p>
      <w:pPr>
        <w:pStyle w:val="ListParagraph"/>
        <w:numPr>
          <w:ilvl w:val="0"/>
          <w:numId w:val="2"/>
        </w:numPr>
        <w:spacing w:after="80" w:line="280"/>
      </w:pPr>
      <w:r>
        <w:rPr>
          <w:rFonts w:ascii="Calibri" w:cs="Calibri" w:eastAsia="Calibri" w:hAnsi="Calibri"/>
          <w:sz w:val="22"/>
          <w:szCs w:val="22"/>
        </w:rPr>
        <w:t xml:space="preserve">Alignment shift: capability is preserved, but refusal calibration moves (either HarmBench ASR rises or XSTest over-refusal rises or both).</w:t>
      </w:r>
    </w:p>
    <w:p>
      <w:pPr>
        <w:pStyle w:val="ListParagraph"/>
        <w:numPr>
          <w:ilvl w:val="0"/>
          <w:numId w:val="2"/>
        </w:numPr>
        <w:spacing w:after="80" w:line="280"/>
      </w:pPr>
      <w:r>
        <w:rPr>
          <w:rFonts w:ascii="Calibri" w:cs="Calibri" w:eastAsia="Calibri" w:hAnsi="Calibri"/>
          <w:sz w:val="22"/>
          <w:szCs w:val="22"/>
        </w:rPr>
        <w:t xml:space="preserve">Capability-driven safety artifact: MMLU drops noticeably, and the safety metrics also move; the safety movement is attributed to capability collapse rather than to an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w:t>
      </w:r>
    </w:p>
    <w:p>
      <w:pPr>
        <w:pStyle w:val="ListParagraph"/>
        <w:numPr>
          <w:ilvl w:val="0"/>
          <w:numId w:val="2"/>
        </w:numPr>
        <w:spacing w:after="80" w:line="280"/>
      </w:pPr>
      <w:r>
        <w:rPr>
          <w:rFonts w:ascii="Calibri" w:cs="Calibri" w:eastAsia="Calibri" w:hAnsi="Calibri"/>
          <w:sz w:val="22"/>
          <w:szCs w:val="22"/>
        </w:rPr>
        <w:t xml:space="preserve">Broad degradation: capability and both safety metrics worsen simultaneously.</w:t>
      </w:r>
    </w:p>
    <w:p>
      <w:pPr>
        <w:spacing w:after="160" w:line="300"/>
        <w:jc w:val="both"/>
      </w:pPr>
      <w:r>
        <w:rPr>
          <w:rFonts w:ascii="Calibri" w:cs="Calibri" w:eastAsia="Calibri" w:hAnsi="Calibri"/>
          <w:sz w:val="22"/>
          <w:szCs w:val="22"/>
        </w:rPr>
        <w:t xml:space="preserve">This decomposition is the principal mechanism through which the study addresses the central research question.</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eventual results. First, with 400 samples per safety benchmark, the bootstrap 95% confidence interval on a binomial-proportion metric such as ASR is approximately ±5 percentage points; small deltas may not be statistically distinguishable from zero. Second, decoding is deterministic at temperature 0.0, so the only source of variance reflected in the confidence intervals is prompt sampling — there is no within-condition stochastic variance. Third, the MMLU subset comprises 300 questions distributed across six subjects; subject-level accuracy estimates are correspondingly noisy and are not reported as primary statistics. A planned future-work item proposes re-running a subset of pairs at temperature 0.7 with multiple seeds to provide an independent estimate of stochastic variance.</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eliminates within-condition variance from generation, and deterministic regex-based scoring eliminates judge-model variance from evaluation. The resume logic prevents partial-run contamination: every reported metric is computed from a complete raw.jsonl that contains exactly the configured number of prompts.</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techwithsergiu Qwen baselines are text-only derivatives of a multimodal Qwen series produced by removing the visual tower. Results therefore describe quantization behaviour on that specific weight provenance and may not transfer perfectly to the official Qwen 2.5 or Qwen 3 instruction checkpoints that are more commonly deployed in production.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Refusal Parser Trade-offs</w:t>
      </w:r>
    </w:p>
    <w:p>
      <w:pPr>
        <w:spacing w:after="160" w:line="300"/>
        <w:jc w:val="both"/>
      </w:pPr>
      <w:r>
        <w:rPr>
          <w:rFonts w:ascii="Calibri" w:cs="Calibri" w:eastAsia="Calibri" w:hAnsi="Calibri"/>
          <w:sz w:val="22"/>
          <w:szCs w:val="22"/>
        </w:rPr>
        <w:t xml:space="preserve">The deterministic regex-based refusal parser was selected for reproducibility and transparency, and against the alternative of using a separate judge LLM. The trade-off is sensitivity. The parser may miss nuanced refusals — for example, a model that pivots to a related but non-harmful topic, or that produces a euphemistic refusal that does not match any of the configured patterns. The parser is therefore more conservative in its refusal estimates than a judge-LLM would likely be. The Future Work chapter proposes a sensitivity check in which a subset of responses is independently scored by a judge LLM and the resulting rates are compared against the deterministic parser as an additional validity check.</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Temperature 0.0 is used throughout, eliminating within-condition stochastic variance from the analysis and precluding direct measurement of sample-to-sample variability.</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400 prompts per safety benchmark, binomial-proportion confidence intervals are approximately ±5 percentage points wide;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Llama gated access. The Llama 3.2 3B pair depends on accepted gating on Hugging Face and a valid token available to the TC1 environment. Without this, the cross-family component of the study cannot run.</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Re-run a representative subset of pairs at temperature 0.7 with three to five distinct seeds to obtain an independent estimate of within-condition variance. This would meaningfully strengthen the statistical claims of the primary study.</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Judge-LLM sensitivity check. Re-score a stratified sample of responses with an independent judge LLM (or an ensemble) and compare the resulting refusal rates against the deterministic parser's estimates.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full SLURM orchestration for the NTU TC1 cluster with resumable per-model matrix jobs, and a verification suite of 122 automated tests. The analytical contribution is the interpretation layer itself, which formalises the alignment-versus-capability disambiguation as a rule-based decision procedure over combined safety and capability deltas.</w:t>
      </w:r>
    </w:p>
    <w:p>
      <w:pPr>
        <w:spacing w:after="160" w:line="300"/>
        <w:jc w:val="both"/>
      </w:pPr>
      <w:r>
        <w:rPr>
          <w:rFonts w:ascii="Calibri" w:cs="Calibri" w:eastAsia="Calibri" w:hAnsi="Calibri"/>
          <w:sz w:val="22"/>
          <w:szCs w:val="22"/>
        </w:rPr>
        <w:t xml:space="preserve">The framework is complete, validated, and ready for cluster submission. Three pairs (Qwen 2B, Qwen 4B, and Llama 3.2 3B) are configured, six sbatch files have been generated, and the only remaining preconditions are confirmation of Hugging Face gating for the Llama pair and submission of the six jobs to TC1. The expected output is a set of pairwise deltas and interpretation labels that directly answer the five research questions, and a documented empirical baseline for future quantization-safety work in the compact-model regime.</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Liu, S., et al. Behavioural Effects of Quantization on Instruction-Tuned Models. arXiv:2402.16775, 2024. (placeholder)</w:t>
      </w:r>
    </w:p>
    <w:p>
      <w:pPr>
        <w:pStyle w:val="ListParagraph"/>
        <w:numPr>
          <w:ilvl w:val="0"/>
          <w:numId w:val="7"/>
        </w:numPr>
        <w:spacing w:after="80" w:line="280"/>
      </w:pPr>
      <w:r>
        <w:rPr>
          <w:rFonts w:ascii="Calibri" w:cs="Calibri" w:eastAsia="Calibri" w:hAnsi="Calibri"/>
          <w:sz w:val="22"/>
          <w:szCs w:val="22"/>
        </w:rPr>
        <w:t xml:space="preserve">Anonymous Authors. A Comprehensive Evaluation of Quantization Strategies for Large Language Models (1B–405B). arXiv:2409.11055, 2024. (placeholder)</w:t>
      </w:r>
    </w:p>
    <w:p>
      <w:pPr>
        <w:pStyle w:val="ListParagraph"/>
        <w:numPr>
          <w:ilvl w:val="0"/>
          <w:numId w:val="7"/>
        </w:numPr>
        <w:spacing w:after="80" w:line="280"/>
      </w:pPr>
      <w:r>
        <w:rPr>
          <w:rFonts w:ascii="Calibri" w:cs="Calibri" w:eastAsia="Calibri" w:hAnsi="Calibri"/>
          <w:sz w:val="22"/>
          <w:szCs w:val="22"/>
        </w:rPr>
        <w:t xml:space="preserve">Anonymous Authors. Safety and Trustworthiness Effects of Post-Training Quantization. arXiv:2502.15799, 2025. (placeholder)</w:t>
      </w:r>
    </w:p>
    <w:p>
      <w:pPr>
        <w:pStyle w:val="ListParagraph"/>
        <w:numPr>
          <w:ilvl w:val="0"/>
          <w:numId w:val="7"/>
        </w:numPr>
        <w:spacing w:after="80" w:line="280"/>
      </w:pPr>
      <w:r>
        <w:rPr>
          <w:rFonts w:ascii="Calibri" w:cs="Calibri" w:eastAsia="Calibri" w:hAnsi="Calibri"/>
          <w:sz w:val="22"/>
          <w:szCs w:val="22"/>
        </w:rPr>
        <w:t xml:space="preserve">Anonymous Authors. Safety-Preserving Quantization for Aligned LLMs. arXiv:2511.07842, 2025. (placeholder)</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2.0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techwithsergiu/Qwen3.5-text-2B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2.0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techwithsergiu/Qwen3.5-text-2B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techwithsergiu/Qwen3.5-text-4B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techwithsergiu/Qwen3.5-text-4B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allenai/xstest-response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122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and interpretation labels.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 regex correctness on representative responses.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(122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FYP_Report_2026-05-23.docx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2026-05-26T14:22:36.119Z</dcterms:created>
  <dcterms:modified xsi:type="dcterms:W3CDTF">2026-05-26T14:22:36.120Z</dcterms:modified>
</cp:coreProperties>
</file>

<file path=docProps/custom.xml><?xml version="1.0" encoding="utf-8"?>
<Properties xmlns="http://schemas.openxmlformats.org/officeDocument/2006/custom-properties" xmlns:vt="http://schemas.openxmlformats.org/officeDocument/2006/docPropsVTypes"/>
</file>