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headline, Hong et al. [8] scrutinise trustworthiness across five compression methods and eight trust dimensions and find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 judge literature cautions that their reliability must itself be evaluated rather than assumed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[17] over the twenty-contrast primary family; a power analysis reports the minimum detectable effect (about 0.04–0.09 per pair at n = 200);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[18]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360"/>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regex-scored and scorer-dependent — an independent three-class refusal judge does not reproduce it, and a completed blinded human audit now weights that judge over the regex, so the decrease is most plausibly a regex measurement artifact, §7.2), and Qwen3-1.7B’s decrease is non-significant on both criteria at the corrected over-refusal scoring (−0.024, CI [−0.048, 0.000], McNemar p = 0.109).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arm has since been extended to all five pairs and corroborates the null in each: no pair shows a sign-consistent majority of individually significant seeds (Qwen3-4B mean +0.029, 1 of 5 seeds significant; Llama −0.024, 2 of 5, both decreases; Mistral +0.012, 0 of 5; Phi −0.012, 1 of 5), and the greedy estimate sits inside the seed range for the three original pairs while falling marginally outside it with a sign flip for Mistral (greedy −0.020) and Phi (greedy +0.020) — small, zero-straddling, sign-unstable gaps (at most 0.04) rather than a stochastic effect the greedy run missed, and one Phi seed is itself individually significant at −0.055 (McNemar p = 0.043, a decrease and 1 of 5, so it does not lift the pair-level reading).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[19].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for a representative pair (the per-pair values span 0.04–0.09).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 regex-scored and scorer-dependent; an independent refusal judge does not reproduce it, §7.2).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 A validation-informed parallel correction — the identical twenty-contrast family with the five over-refusal contrasts scored by the independent judge under its strict mapping, composition locked in a dated note before computation (docs/VALIDATION_INFORMED_FAMILY_NOTE.md; results_512/analysis/multiple_comparisons_judge_strict.json) — leaves two contrasts surviving, both capability effects (Qwen3-1.7B MMLU, q = 0.008; Llama-3B ARC, q = 0.008); it is purely deflationary, and the registered regex-scored family above remains the family of record.</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no scorer finds a statistically significant over-refusal increase in any pair, and the only exact-test-significant over-refusal change is a regex-scored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 Over-refusal remains regex-scored, a known weaker construct: XSTest’s own protocol relies on LLM-based three-way labelling (full compliance / partial refusal / full refusal) rather than a released fine-tuned classifier, whereas this study deliberately substitutes a deterministic binary refusal regex — a reproducibility-motivated deviation that yields a coarser refusal / non-refusal reading — so the single over-refusal contrast that survives multiplicity correction (Phi-4-mini’s −0.048 decrease) is a reproducible non-refusal-rate change rather than a classifier-validated over-refusal shift. Run as a sensitivity check, an independent gpt-4o three-class refusal judge (XSTest’s own full-compliance / partial-refusal / full-refusal taxonomy) re-scored all 3,750 saved benign responses with zero parse failures, the regex kept primary, and did not reproduce that decrease: the direction reverses to ΔOR +0.016 under a strict full-refusal reading (McNemar p = 0.597) and sits at −0.004 under a broad partial-or-full reading (p = 1.000), both non-significant, and the two scorers disagree substantially (the judge counts about four times more refusals, mean over-refusal 0.171 strict versus regex 0.044; per-alias Cohen’s κ −0.01 to 0.50). The −0.048 survivor is therefore scorer-dependent, and a completed 200-item blinded human audit (single annotator, disagreement-enriched draw, a mechanical Outcome J carried with one disclosed protocol deviation, pre-registration §8) resolves the weighting: the judge aligns substantially better with the annotator than the regex on this construct (strict κ 0.485 versus −0.006; the regex recovered only 2 of the annotator’s 63 full refusals), so the contrast is carried as most plausibly a measurement artifact of the regex scorer, with the regex retained as the original pre-specified scorer-of-record and a second annotator the residual strengthening. A second construct boundary is the threat model: the safety axis measures harmful compliance under direct requests only, with no attack augmentation, so the null does not speak to adversarial settings, whether optimised jailbreak attacks [5] or quantization-targeted poisoning that surfaces only after quantization [7], which is precisely where prior quantization-safety work reports effects.</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0.04–0.09 per pair),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for a representative pair (0.04–0.09 across pairs),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sensitivity arm now covers all five pairs and corroborates the null, though for Mistral and Phi the greedy estimate falls marginally outside the seed range with a sign flip (small noise around zero).</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over-refusal axis now carries its own 200-item blinded audit (judge strict κ 0.485 vs regex −0.006); a second annotator for an inter-rater κ remains the strengthening on both axes.</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by an open-weight third judge (Llama-Guard-3-8B [20], revision-pinned) across all fifteen aliases — Cohen’s κ 0.36–0.92 against the classifier over the ten base/NF4 aliases, every per-pair ΔASR non-significant; a reproducibility cross-check of a looser “is this response unsafe?” construct, not a second construct-validity oracle — and a single-annotator human-label validation of 200 stratified responses has grounded the primary scorer against human judgment (classifier κ 0.59 versus regex 0.11). Three robustness arms are complete: a five-seed stochastic-decoding sensitivity arm (all five pairs), a first-token refusal-margin mechanism probe, and the fp16 → INT8 → NF4 precision sweep. The analysis is complete, and the supporting framework, automated verification suite, and artifact-derived claim registry are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Y. Benjamini and Y. Hochberg, “Controlling the false discovery rate: A practical and powerful approach to multiple testing,” Journal of the Royal Statistical Society: Series B (Methodological), vol. 57, no. 1, pp. 289–300, 1995.</w:t>
      </w:r>
    </w:p>
    <w:p>
      <w:pPr>
        <w:spacing w:after="90" w:line="264"/>
        <w:ind w:left="400" w:hanging="400"/>
      </w:pPr>
      <w:r>
        <w:rPr>
          <w:rFonts w:ascii="Times New Roman" w:cs="Times New Roman" w:eastAsia="Times New Roman" w:hAnsi="Times New Roman"/>
          <w:sz w:val="22"/>
          <w:szCs w:val="22"/>
        </w:rPr>
        <w:t xml:space="preserve">[18] J. Cohen, “A coefficient of agreement for nominal scales,” Educational and Psychological Measurement, vol. 20, no. 1, pp. 37–46, 1960.</w:t>
      </w:r>
    </w:p>
    <w:p>
      <w:pPr>
        <w:spacing w:after="90" w:line="264"/>
        <w:ind w:left="400" w:hanging="400"/>
      </w:pPr>
      <w:r>
        <w:rPr>
          <w:rFonts w:ascii="Times New Roman" w:cs="Times New Roman" w:eastAsia="Times New Roman" w:hAnsi="Times New Roman"/>
          <w:sz w:val="22"/>
          <w:szCs w:val="22"/>
        </w:rPr>
        <w:t xml:space="preserve">[19]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[20]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[21]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[22]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[23]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[24]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[21]: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[22], [23]) and is packaged for reuse in line with open-source-software peer-review norms [24].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an automated verification suite across the schema, loaders, scorers, analysis mathematics, SLURM generation, and registered document surfaces. The artifact-derived claim registry binds load-bearing tables, captions, deck data, and recurring prose to results_512/analysis/, while a checksum manifest pins immutable raw artefacts. The live test inventory is obtained from pytest rather than copied into the interim report.</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2026-07-20T13:42:48.857Z</dcterms:created>
  <dcterms:modified xsi:type="dcterms:W3CDTF">2026-07-20T13:42:48.858Z</dcterms:modified>
</cp:coreProperties>
</file>

<file path=docProps/custom.xml><?xml version="1.0" encoding="utf-8"?>
<Properties xmlns="http://schemas.openxmlformats.org/officeDocument/2006/custom-properties" xmlns:vt="http://schemas.openxmlformats.org/officeDocument/2006/docPropsVTypes"/>
</file>