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this manufactured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276"/>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a scorer-validity correction and a generation-budget re-run,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own result, a broad trustworthiness study across several compression methods and trust dimensions finds that four-bit quantization broadly preserves trust, where pruning erodes it and clear degradation appears only at a more extreme three bits [8]; that study covers larger models and a different trust taxonomy, but it is the nearest prior analogue to the null-safety-at-four-bit picture found here.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interim report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 judge literature cautions that their reliability must itself be evaluated rather than assumed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which gives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measures the agreement between scorers and shows that the regex over-counts, which is why it is demoted. MMLU and ARC use deterministic exact match; XSTest over-refusal is scored by the regex, since the official HarmBench classifier judges harmful compliance only. XSTest's own native evaluation relies on LLM-based three-way labelling (full compliance, partial refusal, full refusal) rather than a released fine-tuned classifier; retaining a deterministic binary refusal regex here is a deliberate, reproducibility-motivated deviation that yields a coarser refusal-versus-non-refusal construct, acknowledged as a weaker-construct limitation in Chapter 8.</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[17] over the twenty-contrast primary family; a power analysis reports the minimum detectable effect (about 0.04 to 0.09 per pair at n = 200);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[18]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276"/>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and Qwen3-1.7B shows a non-significant decrease (−0.024, CI [−0.048, 0.000], McNemar p = 0.109). That Phi-4-mini decrease is regex-scored and scorer-dependent: an independent three-way refusal judge does not reproduce it, and a completed blinded human audit now weights that judge over the regex, so the decrease is most plausibly a regex measurement artifact (§6.7).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arm has since been extended to all five pairs and corroborates the null in each: no pair shows a sign-consistent majority of individually significant seeds (Qwen3-4B mean +0.029, 1 of 5 seeds significant; Llama −0.024, 2 of 5, both decreases; Mistral +0.012, 0 of 5; Phi −0.012, 1 of 5), and the greedy estimate sits inside the seed range for the three original pairs while falling marginally outside it with a sign flip for Mistral (greedy −0.020) and Phi (greedy +0.020), small, zero-straddling, sign-unstable gaps (at most 0.04) rather than a stochastic effect the greedy run missed, and one Phi seed is itself individually significant at −0.055 (McNemar p = 0.043, a decrease and 1 of 5, so it does not lift the pair-level reading).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Part of that MMLU gap is a scoring artefact rather than lost knowledge: the option-letter parser falls back to a lenient 'first in-range capital letter anywhere' scan when a response neither leads with the option letter nor states an explicit 'answer is X', and this fallback fires on 48.7 percent of qwen_2b_4bit MMLU items against only 3.3 percent for its fp16 twin, scoring them far less reliably (46 percent accuracy on that pair versus the leading-letter rule's 75 percent). Part of the −0.090 gap therefore reflects a shift in answer format that the lenient parser scores poorly, not only a loss of underlying knowledge, and that ARC moves in the same negative direction under an identical, asymmetry-free protocol corroborates the direction of the loss while indicating its MMLU magnitude is partly parser-inflated.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[19].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which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for a representative pair (the per-pair values span 0.04 to 0.09).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multiplicity-robust signal of four-bit NF4 is therefore capability degradation, plus one benign-direction over-refusal change, and never a safety regression. That one over-refusal survivor, Phi-4-mini's −0.048, is regex-scored, so it inherits the same weaker-construct status as the demoted proxy and should be read as a reproducible non-refusal-rate decrease rather than a classifier-validated over-refusal shift. This is the study's headline empirical claim. A validation-informed parallel correction, the identical twenty-contrast family with the five over-refusal contrasts scored by the independent judge under its strict mapping and its composition locked in a dated note before computation (docs/VALIDATION_INFORMED_FAMILY_NOTE.md; results_512/analysis/multiple_comparisons_judge_strict.json), leaves two contrasts surviving, both capability effects (Qwen3-1.7B MMLU, q = 0.008; Llama-3B ARC, q = 0.008); it is purely deflationary, and the registered regex-scored family above remains the family of record.</w:t>
      </w:r>
    </w:p>
    <w:p>
      <w:pPr>
        <w:spacing w:after="160" w:line="276"/>
        <w:jc w:val="both"/>
      </w:pPr>
      <w:r>
        <w:rPr>
          <w:rFonts w:ascii="Times New Roman" w:cs="Times New Roman" w:eastAsia="Times New Roman" w:hAnsi="Times New Roman"/>
          <w:sz w:val="24"/>
          <w:szCs w:val="24"/>
        </w:rPr>
        <w:t xml:space="preserve">A refusal-judge sensitivity check bears directly on that one survivor. An independent three-way refusal judge (GPT-4o, XSTest's own full-compliance / partial-refusal / full-refusal labelling) re-scored all 3,750 saved benign responses (no parse failures), with the regex kept as the primary scorer and the twenty-contrast BH-FDR family unchanged, and it does not reproduce the −0.048 decrease: scoring full refusals only, Phi-4-mini's judge ΔOR is +0.016 (CI [−0.028, +0.060], McNemar p = 0.597), the opposite direction, and counting partial or full refusals it is −0.004 (CI [−0.048, +0.036], p = 1.000). The two scorers disagree substantially, the judge flags about four times more refusals (mean over-refusal 0.171 against the regex's 0.044) and per-alias Cohen's κ runs from −0.01 to 0.50, and no pair shows a significant judge ΔOR, which agrees with the RQ2 null but with a direction and magnitude that differ from the regex, most sharply for this survivor. The one over-refusal survivor is therefore scorer-dependent, and a completed 200-item blinded human audit (single annotator, disagreement-enriched draw, a mechanical Outcome J carried with one disclosed protocol deviation, pre-registration §8) now resolves the weighting: the judge aligns substantially better with the annotator than the regex on this construct (strict κ 0.485 versus −0.006; the regex recovered only 2 of the annotator's 63 full refusals), so the contrast is carried as most plausibly a measurement artifact of the regex scorer, with the regex retained as the original pre-specified scorer-of-record and a second annotator the residual strengthening (results_512/analysis/xstest_judge_agreement.json; results_512/analysis/xstest_human_validation.json; results_512/analysis/xstest_human_validation_items.jsonl, IDs and labels only).</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no scorer finds a statistically significant over-refusal increase in any pair, and the only exact-test-significant over-refusal change is a regex-scored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The residual is honestly bounded,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adversarial settings, whether optimised jailbreak attacks [5] or quantization-targeted poisoning that surfaces only after quantization [7], which is precisely where prior quantization-safety work reports effects.</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0.04 to 0.09 per pair),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for a representative pair (0.04 to 0.09 across pairs),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sensitivity arm now covers all five pairs and corroborates the null, though for Mistral and Phi the greedy estimate falls marginally outside the seed range with a sign flip (small noise around zero).</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over-refusal axis now carries its own 200-item blinded audit (judge strict κ 0.485 vs regex −0.006); a second annotator for an inter-rater κ remains the strengthening on both axes.</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276"/>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by an open-weight third judge (Llama-Guard-3-8B [20], revision-pinned) across all fifteen aliases (Cohen's κ 0.36 to 0.92 against the classifier over the ten base/NF4 aliases, every per-pair ΔASR non-significant; a reproducibility cross-check of a looser "is this response unsafe?" construct, not a second construct-validity oracle), and a single-annotator human-label validation of 200 stratified responses has grounded the primary scorer against human judgment (classifier κ 0.59 versus regex 0.11). Three robustness arms are complete: a five-seed stochastic-decoding sensitivity arm (all five pairs), a first-token refusal-margin mechanism probe, and the fp16 → INT8 → NF4 precision sweep. The analysis is complete, and the supporting framework, automated verification suite, and artifact-derived claim registry are implemented and released.</w:t>
      </w:r>
    </w:p>
    <w:p>
      <w:pPr>
        <w:spacing w:after="160" w:line="276"/>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which prompted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276"/>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 to 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Y. Benjamini and Y. Hochberg, "Controlling the false discovery rate: A practical and powerful approach to multiple testing," Journal of the Royal Statistical Society: Series B (Methodological), vol. 57, no. 1, pp. 289-300, 1995.</w:t>
      </w:r>
    </w:p>
    <w:p>
      <w:pPr>
        <w:spacing w:after="90" w:line="264"/>
        <w:ind w:left="400" w:hanging="400"/>
      </w:pPr>
      <w:r>
        <w:rPr>
          <w:rFonts w:ascii="Times New Roman" w:cs="Times New Roman" w:eastAsia="Times New Roman" w:hAnsi="Times New Roman"/>
          <w:sz w:val="22"/>
          <w:szCs w:val="22"/>
        </w:rPr>
        <w:t xml:space="preserve">[18] J. Cohen, "A coefficient of agreement for nominal scales," Educational and Psychological Measurement, vol. 20, no. 1, pp. 37-46, 1960.</w:t>
      </w:r>
    </w:p>
    <w:p>
      <w:pPr>
        <w:spacing w:after="90" w:line="264"/>
        <w:ind w:left="400" w:hanging="400"/>
      </w:pPr>
      <w:r>
        <w:rPr>
          <w:rFonts w:ascii="Times New Roman" w:cs="Times New Roman" w:eastAsia="Times New Roman" w:hAnsi="Times New Roman"/>
          <w:sz w:val="22"/>
          <w:szCs w:val="22"/>
        </w:rPr>
        <w:t xml:space="preserve">[19]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[20]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[21]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[22]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[23]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[24]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[21]: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[22], [23]) and is packaged for reuse in line with open-source-software peer-review norms [24].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an automated verification suite across the schema, loaders, scorers, analysis mathematics, SLURM generation, and registered document surfaces. The artifact-derived claim registry binds load-bearing tables, captions, deck data, and recurring prose to results_512/analysis/, while a checksum manifest pins immutable raw artefacts. The live test inventory is obtained from pytest rather than copied into the interim report.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2026-07-20T13:42:49.611Z</dcterms:created>
  <dcterms:modified xsi:type="dcterms:W3CDTF">2026-07-20T13:42:49.612Z</dcterms:modified>
</cp:coreProperties>
</file>

<file path=docProps/custom.xml><?xml version="1.0" encoding="utf-8"?>
<Properties xmlns="http://schemas.openxmlformats.org/officeDocument/2006/custom-properties" xmlns:vt="http://schemas.openxmlformats.org/officeDocument/2006/docPropsVTypes"/>
</file>