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(a mechanical Outcome J carried with one disclosed protocol deviation, pre-registration §8).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[23]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the greedy-versus-stochastic gaps are small (at most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a decrease, and one of five, so it does not lift the pair-level reading. The claim carried for these pairs is 'no detectable pair-level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[25], [26].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[27])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at strict-mapping Cohen's κ 0.485 versus −0.006 and broad-mapping 0.662 versus 0.054,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alongside a redacted per-item audit trail results_512/analysis/xstest_human_validation_items.jsonl (IDs and labels only, no text) for independent reproduction;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signed-rank [28] p &lt; 0.001, n = 200) but moves comply-ward for Qwen (Δm = +1.2 for 1.7B, +4.0 for 4B) and refuse-ward for Llama and Phi (−1.1, −0.3), with effect sizes spanning Cohen dz [29]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a mechanical Outcome J carried with one disclosed protocol deviation, pre-registration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[30])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a mechanical Outcome J carried with one disclosed protocol deviation, pre-registration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0.04 to 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Calibri" w:cs="Calibri" w:eastAsia="Calibri" w:hAnsi="Calibri"/>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Calibri" w:cs="Calibri" w:eastAsia="Calibri" w:hAnsi="Calibri"/>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T41 post-Phase-C audit remediation. §6.12 Result 6: the T36 gold-set result is restated from a clean "pre-registered Outcome J" to an Outcome-J-consistent validation carrying one disclosed protocol deviation (pre-registration §8):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and labels only) is now committed for independent reproduction. Also corrected: §6.6.1 and Chapter 7 now state the multi-seed arm covers all five pairs (a residual "three of the five" phrasing removed); the ≈0.06 minimum-detectable-effect figure is scoped as the representative or 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(mechanical Outcome J; the protocol-deviation disclosure was added in the T41 pass above)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revision-pinned, locally rerunnable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2026-07-20T13:42:49.091Z</dcterms:created>
  <dcterms:modified xsi:type="dcterms:W3CDTF">2026-07-20T13:42:49.091Z</dcterms:modified>
</cp:coreProperties>
</file>

<file path=docProps/custom.xml><?xml version="1.0" encoding="utf-8"?>
<Properties xmlns="http://schemas.openxmlformats.org/officeDocument/2006/custom-properties" xmlns:vt="http://schemas.openxmlformats.org/officeDocument/2006/docPropsVTypes"/>
</file>