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most plausibly a measurement artifact of the regex scorer, since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0.04–0.09 per pair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subsequent pre-registered human audit — a blinded, 200-item, disagreement-enriched single-annotator gold set — finds the judge substantially better aligned with the annotator than the regex on this construct (a mechanical Outcome J, carried as Outcome-J–consistent with one disclosed protocol deviation, §8 of the pre-registration), so that contrast is carried as most plausibly a regex measurement artifact, with the regex retained as the original pre-specified scorer-of-record for traceability and a second annotator remaining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[23]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disclosed in §6.6.1: their greedy points sit just outside narrow, zero-straddling seed ranges).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[24] from −0.01 to 0.50 under the strict mapping, and to 0.54 under the broad one), so this contrast is scorer-dependent — and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completing coverage of all five pairs: Mistral-7B has seed mean +0.012 (range [−0.005, +0.045], 0 of 5 seeds significant) and Phi-4-mini seed mean −0.012 (range [−0.055, +0.015], 1 of 5 seeds individually significant —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 Mistral's just below its seed minimum, Phi's just above its seed maximum, each with the opposite sign to its seed mean. Both ranges straddle zero, the greedy–stochastic gaps are small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 a decrease, and one of five, so it does not lift the pair-level reading.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 the one over-refusal survivor is most plausibly a regex measurement artifact (human-audited, §6.12 Result 6; under the validation-informed parallel family only the two capability contrasts survive, §6.5.1) —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[25], [26].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[27])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 most visibly the low Phi κ —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 and the human audit below resolves which scorer to weight: the contrast is most plausibly a measurement artifact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60"/>
        <w:jc w:val="both"/>
      </w:pPr>
      <w:r>
        <w:rPr>
          <w:rFonts w:ascii="Times New Roman" w:cs="Times New Roman" w:eastAsia="Times New Roman" w:hAnsi="Times New Roman"/>
          <w:sz w:val="22"/>
          <w:szCs w:val="22"/>
        </w:rPr>
        <w:t xml:space="preserve">The human grounding for this axis has since been completed, mirroring Result 5. All 200 items of a pre-registered gold set — drawn from the same 3,750 saved responses, deliberately over-sampling the regex-versus-judge disagreements (120 of 200) and double-weighting the contested Phi and divergent Qwen-1.7B pairs, presentation-shuffled and label-blind —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 strict-mapping Cohen's κ 0.485 versus −0.006, broad-mapping 0.662 versus 0.054 —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these labels are a blinded single-annotator reference set, not ground truth (a single annotator can misread and drift, and no inter-rater κ exists for this set);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and the pre-registered no-swap rule (D45) was locked before the judge results existed but after the regex results were known —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 it is most plausibly a measurement artifact of the regex scorer —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signed-rank [28] p &lt; 0.001, n = 200) but moves comply-ward for Qwen (Δm = +1.2 for 1.7B, +4.0 for 4B) and refuse-ward for Llama and Phi (−1.1, −0.3), with effect sizes spanning Cohen dz [29]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now covers all five pairs (§6.6.1).</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and the pre-registered human refusal audit has since grounded that comparison: the judge aligns substantially better with a blinded single annotator than the regex (strict κ 0.485 versus −0.006, a mechanical Outcome J carried with one disclosed protocol deviation,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 small noise around zero, not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 to the over-refusal and capability axes — would complete the within-condition variance estimate.</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[30])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 and the human-labelled refusal gold set that grounds that comparison has since been completed too (200 items, blinded single annotator, a mechanical Outcome J carried with one disclosed protocol deviation,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0.04–0.09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Y. Benjamini and Y. Hochberg, “Controlling the false discovery rate: A practical and powerful approach to multiple testing,” Journal of the Royal Statistical Society: Series B (Methodological), vol. 57, no. 1, pp. 289–300, 1995.</w:t>
      </w:r>
    </w:p>
    <w:p>
      <w:pPr>
        <w:pStyle w:val="ListParagraph"/>
        <w:numPr>
          <w:ilvl w:val="0"/>
          <w:numId w:val="7"/>
        </w:numPr>
        <w:spacing w:after="80" w:line="280"/>
      </w:pPr>
      <w:r>
        <w:rPr>
          <w:rFonts w:ascii="Times New Roman" w:cs="Times New Roman" w:eastAsia="Times New Roman" w:hAnsi="Times New Roman"/>
          <w:sz w:val="22"/>
          <w:szCs w:val="22"/>
        </w:rPr>
        <w:t xml:space="preserve">J. Cohen, “A coefficient of agreement for nominal scales,” Educational and Psychological Measurement, vol. 20, no. 1, pp. 37–46, 1960.</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F. Wilcoxon, “Individual comparisons by ranking methods,” Biometrics Bulletin, vol. 1, no. 6, pp. 80–83, 1945.</w:t>
      </w:r>
    </w:p>
    <w:p>
      <w:pPr>
        <w:pStyle w:val="ListParagraph"/>
        <w:numPr>
          <w:ilvl w:val="0"/>
          <w:numId w:val="7"/>
        </w:numPr>
        <w:spacing w:after="80" w:line="280"/>
      </w:pPr>
      <w:r>
        <w:rPr>
          <w:rFonts w:ascii="Times New Roman" w:cs="Times New Roman" w:eastAsia="Times New Roman" w:hAnsi="Times New Roman"/>
          <w:sz w:val="22"/>
          <w:szCs w:val="22"/>
        </w:rPr>
        <w:t xml:space="preserve">J. Cohen, Statistical Power Analysis for the Behavioral Sciences, 2nd ed. Hillsdale, NJ: Lawrence Erlbaum Associates, 1988.</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T41 post-Phase-C audit remediation. §6.12 Result 6: the T36 gold-set result is restated from a clean "pre-registered Outcome J" to an Outcome-J–consistent validation carrying one disclosed protocol deviation (pre-registration §8) —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 labels only) is now committed for independent reproduction. Also corrected: §6.6.1/Chapter 7 now state the multi-seed arm covers all five pairs (a residual "three of the five" phrasing removed); the ≈0.06 minimum-detectable-effect figure is scoped as the representative/median-pair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T36 human refusal gold set folded in (mechanical Outcome J; the protocol-deviation disclosure was added in the T41 pass above) +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(single-annotator reference set on a disagreement-enriched draw, not population ground truth; shared benchmark taxonomy; D45 timing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three times: by an independent frontier-model second judge (gpt-4o, §6.12 Result 4), against human labels on a stratified subset (§6.12 Result 5), and by an open-weight guard model (Llama-Guard-3-8B, revision-pinned; §6.12), whose revision-pinned, locally rerunnable re-scoring — unlike the versioned API judge —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2026-07-20T13:42:48.309Z</dcterms:created>
  <dcterms:modified xsi:type="dcterms:W3CDTF">2026-07-20T13:42:48.310Z</dcterms:modified>
</cp:coreProperties>
</file>

<file path=docProps/custom.xml><?xml version="1.0" encoding="utf-8"?>
<Properties xmlns="http://schemas.openxmlformats.org/officeDocument/2006/custom-properties" xmlns:vt="http://schemas.openxmlformats.org/officeDocument/2006/docPropsVTypes"/>
</file>