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 (directional)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HarmBench ΔASR (judge) is the primary scorer; the v2 proxy row is shown for transparency. ★ marks deltas whose paired-bootstrap 95% CI excludes zero. Under the judge, three deltas are significant: Qwen 1.7B ΔASR, Qwen 1.7B ΔMMLU, and Llama ΔMMLU. The Qwen 4B judge ΔASR (+0.025) is directional only — its CI touches zero — so the interpretation label is alignment_degradation by point estimate but not statistically confirmed.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but the effect is directional rather than statistically confirmed. HarmBench ASR rises from 0.065 to 0.090 (ΔASR = +0.025, 95% CI [−0.000, +0.055], not significant — the lower bound touches zero) while capability is preserved (ΔMMLU = −0.003, CI [−0.040, +0.033], not significant). Because capability is preserved and the ASR point estimate exceeds the harm tolerance, the rule assigns alignment_degradation; but the CI includes zero, so this is best read as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2026-06-06T08:53:55.499Z</dcterms:created>
  <dcterms:modified xsi:type="dcterms:W3CDTF">2026-06-06T08:53:55.500Z</dcterms:modified>
</cp:coreProperties>
</file>

<file path=docProps/custom.xml><?xml version="1.0" encoding="utf-8"?>
<Properties xmlns="http://schemas.openxmlformats.org/officeDocument/2006/custom-properties" xmlns:vt="http://schemas.openxmlformats.org/officeDocument/2006/docPropsVTypes"/>
</file>