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in progress. The Qwen 2B pair (Qwen3-1.7B baseline versus NF4 4-bit) completed on 2026-05-27, with preliminary results showing decreased harmful compliance (HarmBench ASR: 0.775 → 0.655), decreased over-refusal (XSTest: 0.032 → 0.016), and decreased capability (MMLU accuracy: 0.620 → 0.533) under quantization — a pattern suggestive of capability collapse rather than genuine alignment improvement. This document records the full design, implementation, preliminary results,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Experimental runs are in progress on the NTU TC1 GPU cluster. The Qwen 2B-class pair (Qwen3-1.7B baseline versus NF4 4-bit) completed successfully on 2026-05-27 (SLURM jobs 60976 and 60977). The Qwen 4B pair (Qwen3-4B baseline versus NF4 4-bit) also completed on 2026-05-27 (SLURM jobs 60978 and 60979). The Llama 3.2 3B pair is currently running and will populate the remaining rows in Table 6.1 upon completion. Bootstrap 95% confidence intervals and formal interpretation labels will be computed by the analysis pipeline (compare_quant_pairs.py) after all six model jobs finish. Preliminary observations for the completed Qwen pairs are recorded in §6.6 (Qwen 2B) and §6.8 (Qwen 4B).</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Qwen 2B values are the actual outputs from TC1. Remaining rows will be filled in once the corresponding jobs complete.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results. Qwen 2B complete (jobs 60976+60977). Qwen 4B complete (jobs 60978+60979). Llama pair pending. Bootstrap 95% CIs will be added once all pairs are complete.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w:t>
      </w:r>
    </w:p>
    <w:p>
      <w:pPr>
        <w:spacing w:after="160" w:line="300"/>
        <w:jc w:val="both"/>
      </w:pPr>
      <w:r>
        <w:rPr>
          <w:rFonts w:ascii="Calibri" w:cs="Calibri" w:eastAsia="Calibri" w:hAnsi="Calibri"/>
          <w:sz w:val="22"/>
          <w:szCs w:val="22"/>
        </w:rPr>
        <w:t xml:space="preserve">The full-precision baseline comparison already reveals a capability-harmfulness coupling at scale. The Qwen3-4B baseline scores 0.860 on HarmBench ASR versus 0.775 for Qwen3-1.7B (+8.5 pp), confirming that the larger model is more instruction-following and thus more harmful-compliant. MMLU accuracy rises from 0.620 to 0.747 (+12.7 pp), confirming that the capability gain is genuine. XSTest over-refusal halves (0.032 → 0.016), indicating the 4B model is better calibrated on benign prompts. This larger-model-is-more-capable-and-more-dangerous pattern is consistent with the broader literature and motivates the matched-pair design: quantization effects need to be interpreted against a baseline that already varies significantly by scale.</w:t>
      </w:r>
    </w:p>
    <w:p>
      <w:pPr>
        <w:spacing w:after="160" w:line="300"/>
        <w:jc w:val="both"/>
      </w:pPr>
      <w:r>
        <w:rPr>
          <w:rFonts w:ascii="Calibri" w:cs="Calibri" w:eastAsia="Calibri" w:hAnsi="Calibri"/>
          <w:sz w:val="22"/>
          <w:szCs w:val="22"/>
        </w:rPr>
        <w:t xml:space="preserve">The Qwen 4B 4-bit results (SLURM job 60979) reveal a dramatically different quantization sensitivity compared with the 2B pair. MMLU accuracy is essentially unchanged at 0.743 versus the 0.747 baseline (Δ = −0.004, −0.5% relative) — within the noise floor of the 300-sample evaluation. HarmBench ASR declined by 4.5 percentage points (0.860 → 0.815, −5.2% relative), while XSTest over-refusal is unchanged at 0.016. Because capability is preserved, the ASR reduction cannot be attributed to capability collapse and may represent a genuine mild alignment improvement or a minor recalibration of instruction-following behaviour under compression. The XSTest over-refusal rate remaining at 0.016 under quantization confirms that the 4B model's low refusal calibration is preserved. Taken together, the Qwen 4B pair pattern is best characterised as robust preservation, in marked contrast to the broad capability degradation observed in the Qwen 2B pair. The full within-family scale analysis is presented in §6.8 and §6.7.</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Unlike the 2B pair, this ASR reduction is not accompanied by a meaningful capability decline: MMLU accuracy fell only 0.4 percentage points (0.747 → 0.743, −0.5% relative), well within the expected noise range of the 300-sample evaluation. XSTest over-refusal is unchanged at 0.016. Because the MMLU delta is negligible, the ASR reduction cannot be attributed to the same capability-collapse mechanism identified for the 2B pair. Instead, the pattern is consistent with robust preservation — the 4B model withstands four-bit NF4 compression with minimal behavioural change — with the mild ASR decrease possibly reflecting a minor recalibration of instruction-following fidelity rather than a substantive alignment shift.</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findings also constrain the cross-family comparison. The Llama 3.2 3B pair (currently running) sits between the 2B and 4B parameter counts; its quantization delta pattern will indicate whether size alone explains the robustness difference, or whether architectural and training differences between Qwen and Llama also play a role. Formal interpretation labels and bootstrap confidence intervals will be reported once the analysis pipeline is run across all three completed pairs.</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and cluster execution is substantially advanced. Six sbatch files have been generated, Hugging Face gated access has been verified, all required datasets and model weights have been pre-cached on TC1, and four of the six model jobs have completed. The Qwen 2B pair (Qwen3-1.7B baseline versus NF4 4-bit) produced a capability-collapse pattern: MMLU accuracy declined by 8.7 percentage points under quantization, while HarmBench ASR fell by 12.0 points and XSTest over-refusal halved. The Qwen 4B pair (Qwen3-4B baseline versus NF4 4-bit) produced a starkly different pattern — robust preservation — with MMLU accuracy essentially unchanged (Δ = −0.4 pp) and HarmBench ASR declining only 4.5 points. Together, these two pairs provide the first direct evidence for RQ4: smaller Qwen models are substantially more sensitive to NF4 quantization than larger ones within the same family. The Llama 3.2 3B pair is currently running; once it completes, the analysis pipeline will assign formal interpretation labels and compute bootstrap confidence intervals, producing a complete set of pairwise deltas that directly answer the five research questions and establish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2026-05-27T10:26:43.978Z</dcterms:created>
  <dcterms:modified xsi:type="dcterms:W3CDTF">2026-05-27T10:26:43.979Z</dcterms:modified>
</cp:coreProperties>
</file>

<file path=docProps/custom.xml><?xml version="1.0" encoding="utf-8"?>
<Properties xmlns="http://schemas.openxmlformats.org/officeDocument/2006/custom-properties" xmlns:vt="http://schemas.openxmlformats.org/officeDocument/2006/docPropsVTypes"/>
</file>