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and a completed blinded human audit now weights that judge over the regex, so the decrease is most plausibly a regex measurement artifact,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 A validation-informed parallel correction — the identical twenty-contrast family with the five over-refusal contrasts scored by the independent judge under its strict mapping, composition locked in a dated note before computation (docs/VALIDATION_INFORMED_FAMILY_NOTE.md; results_512/analysis/multiple_comparisons_judge_strict.json) — leaves two contrasts surviving, both capability effects (Qwen3-1.7B MMLU, q = 0.008; Llama-3B ARC, q = 0.008); it is purely deflationary, and the registered regex-scored family above remains the family of record.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completed 200-item blinded human audit (single annotator, disagreement-enriched draw, pre-registered read-off: Outcome J)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is complete, and the supporting framework, automated verification suite, and artifact-derived claim registry are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2026-07-19T03:14:26.065Z</dcterms:created>
  <dcterms:modified xsi:type="dcterms:W3CDTF">2026-07-19T03:14:26.066Z</dcterms:modified>
</cp:coreProperties>
</file>

<file path=docProps/custom.xml><?xml version="1.0" encoding="utf-8"?>
<Properties xmlns="http://schemas.openxmlformats.org/officeDocument/2006/custom-properties" xmlns:vt="http://schemas.openxmlformats.org/officeDocument/2006/docPropsVTypes"/>
</file>