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(Outcome J).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pre-registered read-off (docs/XSTEST_GOLD_PREREG.md, locked with a J/R/T/X outcome matrix before any label existed) is Outcome J: the judge aligns substantially better with the annotator than the regex, at strict-mapping Cohen's κ 0.485 versus −0.006 and broad-mapping 0.662 versus 0.054, and the two failure modes are asymmetric in kind.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pre-registered Outcome-J action,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Outcome J),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pre-registered Outcome J: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(pre-registered Outcome J)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twice over: once by an independent frontier-model second judge (gpt-4o, §6.12 Result 4), and once against human labels on a stratified subset (§6.12 Result 5). One optional extension is still carried in Chapter 9: an open-weight guard model (LlamaGuard), whose cross-check would be fully reproducible in a way the versioned API judge is not.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2026-07-18T16:20:41.776Z</dcterms:created>
  <dcterms:modified xsi:type="dcterms:W3CDTF">2026-07-18T16:20:41.778Z</dcterms:modified>
</cp:coreProperties>
</file>

<file path=docProps/custom.xml><?xml version="1.0" encoding="utf-8"?>
<Properties xmlns="http://schemas.openxmlformats.org/officeDocument/2006/custom-properties" xmlns:vt="http://schemas.openxmlformats.org/officeDocument/2006/docPropsVTypes"/>
</file>