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is Outcome J: the judge aligns substantially better with the annotator than the regex (strict-mapping Cohen’s κ 0.485 against −0.006, broad-mapping 0.662 against 0.054), and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pre-registered Outcome J); both groundings rest on one annotator, so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pre-registered Outcome J, with the judge substantially better aligned with the annotator than the regex). An open-weight guard model (e.g. Llama Guard [18]) remains the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2026-07-18T16:24:41.372Z</dcterms:created>
  <dcterms:modified xsi:type="dcterms:W3CDTF">2026-07-18T16:24:41.372Z</dcterms:modified>
</cp:coreProperties>
</file>

<file path=docProps/custom.xml><?xml version="1.0" encoding="utf-8"?>
<Properties xmlns="http://schemas.openxmlformats.org/officeDocument/2006/custom-properties" xmlns:vt="http://schemas.openxmlformats.org/officeDocument/2006/docPropsVTypes"/>
</file>