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 the latter most plausibly a measurement artifact of the regex scorer, since an independent three-class refusal judge does not reproduce it and a blinded human audit finds that judge substantially better aligned with the annotator than the regex on this construct (§7.2); a validation-informed parallel correction with over-refusal scored by that judge leaves two survivors, both capability effects (§6.7), and no scorer finds a statistically significant over-refusal increase in any pair.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headline, Hong et al. [8] scrutinise trustworthiness across five compression methods and eight trust dimensions and report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standardized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applying a condensed one-sentence yes/no rubric that encodes the same harmful-behaviour criterion as the HarmBench classifier rather than the classifier’s full enumerated template [11], [12].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deterministic regex as the primary scorer, cross-checked by an independent three-class refusal judge as a sensitivity layer (§7.2). XSTest’s own evaluation relies on LLM-based three-way labelling (full compliance / partial refusal / full refusal) rather than a released fine-tuned classifier; this study retains regex parsing as a deliberate, reproducibility-motivated deviation that yields a coarser binary refusal / non-refusal construct (the HarmBench classifier itself judges harmful compliance only, so it does not cover over-refusal), and adds the three-class judge only as a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360"/>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 independent refusal judge does not reproduce it, and a blinded human audit finds that judge substantially better aligned with the annotator than the regex, so the decrease is most plausibly a measurement artifact of the regex scorer — §7.2), while Qwen3-1.7B’s smaller decrease is not significant on either criterion (−0.024, McNemar p = 0.109; its CI [−0.048, 0.000] touches zero). No pair becomes significantly more prone to over-refusal on benign prompts, under either scorer (RQ2).</w:t>
      </w:r>
    </w:p>
    <w:p>
      <w:pPr>
        <w:spacing w:after="160" w:line="360"/>
        <w:jc w:val="both"/>
      </w:pPr>
      <w:r>
        <w:rPr>
          <w:rFonts w:ascii="Times New Roman" w:cs="Times New Roman" w:eastAsia="Times New Roman" w:hAnsi="Times New Roman"/>
          <w:sz w:val="24"/>
          <w:szCs w:val="24"/>
        </w:rPr>
        <w:t xml:space="preserve">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This apparent divergence is, however, a parsing artefact rather than genuine MMLU-specificity. The option-letter parser falls back to a lenient “first in-range capital letter anywhere” scan when a response neither leads with the option letter nor states an explicit “answer is X”. For qwen_2b_4bit that fallback fires on 48.7 percent of MMLU items and 52.3 percent of ARC items, versus about 3 percent at fp16. It salvages the format-broken ARC answers more accurately (66 percent) than the MMLU ones (46 percent, against the leading-letter rule’s 75 percent), and so masks the ARC loss. Part of the −0.090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lenient near-zero magnitude reflects parser salvage, not immunity. Each benchmark’s loss is honestly a bracket whose lenient end tracks answer-knowledge (largely preserved, since the salvaged answers are 66 percent correct) and whose strict end tracks format-compliant answering, and answer-format parsing is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so its lower ASR is more consistent with a capability side-effect than with a genuine alignment improvement. That is why it carries the capability-collapse-masquerading-as-safety label, which encodes the correlation between the two axes; the label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two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two capability survivors rest on deterministic exact-match scoring (MMLU and ARC parse an option letter; no refusal scorer is involved); the over-refusal survivor is regex-scored, and both an independent refusal judge (which does not reproduce it) and the completed human refusal audit (§7.2) mark it as most plausibly a measurement artifact of that regex. The multiplicity-robust signal of four-bit NF4 is therefore capability degradation, plus one benign-direction over-refusal change that does not survive an independent scorer, and never a safety regression. This is the thesis’s headline empirical claim.</w:t>
      </w:r>
    </w:p>
    <w:p>
      <w:pPr>
        <w:spacing w:after="160" w:line="360"/>
        <w:jc w:val="both"/>
      </w:pPr>
      <w:r>
        <w:rPr>
          <w:rFonts w:ascii="Times New Roman" w:cs="Times New Roman" w:eastAsia="Times New Roman" w:hAnsi="Times New Roman"/>
          <w:sz w:val="24"/>
          <w:szCs w:val="24"/>
        </w:rPr>
        <w:t xml:space="preserve">Because the over-refusal member of every contrast above is regex-scored, and the §7.2 human audit subsequently found that scorer poorly aligned with a blinded human annotator on this construct, a validation-informed parallel correction is also reported — clearly labelled post-hoc, added after both scorers’ results were known, with its composition fixed in a dated pre-analysis note before it was computed (docs/VALIDATION_INFORMED_FAMILY_NOTE.md). It recomputes the identical twenty-contrast family with a single change: the five over-refusal contrasts are scored by the independent three-class judge under the strict mapping, the replication definition pre-registered in the judge-validation protocol; the other fifteen p-values are reused verbatim, and the same Benjamini-Hochberg procedure is applied at the same threshold. Under the original registered analysis, exactly three contrasts survive BH-FDR (Qwen3-1.7B MMLU (−0.090, q = 0.008), Llama-3.2-3B ARC (−0.032, q = 0.008), Phi-4-mini over-refusal (−0.048, q = 0.012)); under the validation-informed parallel analysis — identical except that over-refusal is scored by the independent judge under the strict mapping —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 no contrast becomes significant that was not already — and the original regex-scored family above remains the pre-specified family of record for traceability. The substantive RQ2 conclusion is therefore carried in the scorer-invariant form: no scorer finds a statistically significant over-refusal increase in any pair (point estimates do move upward in places — the judge-strict Qwen3-1.7B +0.040 is the largest, McNemar p = 0.087 — but none reaches significance under either scorer). Per-contrast values are in results_512/analysis/multiple_comparisons_judge_strict.json.</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 no scorer finds a statistically significant over-refusal increase in any pair, and the only exact-test-significant change is a regex-scored decrease that the human-grounded judge marks as most plausibly a measurement artifact (RQ2); capability loss is real, modest, partly benchmark-specific, and the only class of effect that robustly survives multiplicity correction under either scoring of the family, the one over-refusal survivor being most plausibly a regex measurement artifact (RQ3); the smallest model is the most capability-sensitive but shows no genuine safety shift once truncation is controlled (RQ4); and the cross-family, cross-precision picture is a consistent power-bounded null on safety with a capability cliff at four-bit (RQ5). This picture is consistent with the one prior study that likewise isolates four-bit quantization — Hong et al. [8], across a broader trust taxonomy and larger models — which reports that four-bit compression broadly preserves trustworthiness; the matched-pair capability anchor and classifier-validated scorer used here sharpen that observation into a per-pair separation of capability change from alignment change.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 κ 0.59 is moderate, not near-perfect, and rests on one annotator, so a second annotator with an inter-rater κ is the remaining strengthening.</w:t>
      </w:r>
    </w:p>
    <w:p>
      <w:pPr>
        <w:spacing w:after="160" w:line="360"/>
        <w:jc w:val="both"/>
      </w:pPr>
      <w:r>
        <w:rPr>
          <w:rFonts w:ascii="Times New Roman" w:cs="Times New Roman" w:eastAsia="Times New Roman" w:hAnsi="Times New Roman"/>
          <w:sz w:val="24"/>
          <w:szCs w:val="24"/>
        </w:rPr>
        <w:t xml:space="preserve">Over-refusal remains regex-scored, a known weaker construct; the single over-refusal contrast that survives multiplicity correction (Phi-4-mini’s −0.048 decrease) therefore inherits that same weaker-construct status. To test that survivor for scorer-robustness — the same question the classifier settled for HarmBench — the 3,750 saved benign XSTest responses were re-scored by an independent three-class refusal judge (GPT-4o, pinned dated snapshot, temperature 0, zero parse failures) applying the XSTest paper’s own full-compliance / partial-refusal / full-refusal taxonomy [9],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poorly-to-moderately on benign over-refusal (Cohen κ −0.01 to 0.50 across the ten base/NF4 aliases of the primary study, with the judge counting roughly four times as many refusals). The one multiplicity-robust over-refusal contrast is therefore scorer-dependent, and a completed pre-registered human audit resolves which scorer to weight. All 200 items of a gold set drawn from the same saved responses — deliberately over-sampling the regex-versus-judge disagreements (120 of 200), presentation-shuffled and label-blind — were labelled by a single human annotator (the author) under the same three-class XSTest taxonomy the judge applies. The read-off, locked in a pre-registered outcome matrix before any label existed, is Outcome J: the judge aligns substantially better with the annotator than the regex — strict-mapping Cohen’s κ 0.485 versus −0.006, broad-mapping 0.662 versus 0.054 — and the two failure modes are asymmetric in kind: the regex detected 2 of the annotator’s 63 full refusals (the missed refusals are typically long, polite, lecture-style declinations carrying none of the template phrases), whereas the judge caught 61 of 63 and errs by over-flagging, with its over-flags concentrated on the genuinely subjective partial-versus-full boundary (three-class exact agreement 0.695). Three bounds are disclosed plainly: these labels are a blinded single-annotator reference set, not ground truth; the draw is disagreement-enriched, so the κ values are a contested-slice contrast and no population over-refusal rate or ΔOR is estimated from them; and the shared benchmark taxonomy structurally favours a semantic judge over a phrase-matcher, while the pre-registered no-swap rule was locked before the judge results existed but after the regex results were known — a timing disclosed rather than argued from. The regex accordingly remains the original pre-specified scorer-of-record and the registered multiplicity family is unchanged, but the Phi-4-mini −0.048 contrast is carried as most plausibly a measurement artifact of the regex scorer, with the §6.7 validation-informed parallel family giving that reading a multiplicity-controlled footing (two survivors, both capability effects). The committed aggregate is results_512/analysis/xstest_human_validation.json (counts and rates only; the annotation sheet holds raw text and stays local); a second annotator with an inter-rater κ is the residual strengthening, exactly as for the harmful-compliance audit. This extends the thesis’s central scorer-sensitivity message from the harmful-compliance axis to the over-refusal axis.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XSTest refusal judge is likewise grounded by a completed 200-item blinded audit (judge strict κ 0.485 vs regex −0.006, pre-registered Outcome J); both groundings rest on a single annotator, so a second annotator for an inter-rater κ remains the strengthening on both axes.</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validations on both axes — HarmBench harmful compliance (classifier κ 0.59 vs regex 0.11 against human labels) and the XSTest refusal gold set, now completed as well (200 items, blinded, pre-registered Outcome J: the judge aligns substantially better with the annotator than the regex) —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most plausibly a measurement artifact of the regex scorer — not reproduced by an independent refusal judge that a blinded human audit finds substantially better aligned with the annotator, and absent from the validation-informed parallel correction, under which only the two capability losses survive.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an automated verification suite across the schema, loaders (including the fail-loud quantization guard), scorers, analysis mathematics, the SLURM generator, and the registered document surfaces. The artifact-derived claim registry and claim checker bind load-bearing tables, captions, deck data, and recurring prose to results_512/analysis/, while a checksum manifest pins immutable raw artefacts. The live test inventory is obtained from pytest rather than copied into the thesis.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2026-07-18T16:24:40.955Z</dcterms:created>
  <dcterms:modified xsi:type="dcterms:W3CDTF">2026-07-18T16:24:40.956Z</dcterms:modified>
</cp:coreProperties>
</file>

<file path=docProps/custom.xml><?xml version="1.0" encoding="utf-8"?>
<Properties xmlns="http://schemas.openxmlformats.org/officeDocument/2006/custom-properties" xmlns:vt="http://schemas.openxmlformats.org/officeDocument/2006/docPropsVTypes"/>
</file>