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246 automated tests across nineteen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246 automated tests across nineteen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246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246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all six models via a parallel per-model job set, slurm/jobs_tc1_arc/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core benchmarks sequentially with the model loaded once; ARC-Challenge (the second capability benchmark) was added afterwards and run on all six models in a separate per-model job set (§6.4.1).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Cross-family and scale extension (infrastructure complete; TC1 run pending). Two further matched pairs have been fully implemented and are queued for the cluster run: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 on-the-fly NF4 with the same BitsAndBytesConfig, greedy decoding, the same four benchmarks at the same sample counts, seed 42, and the official HarmBench classifier as the primary ASR scorer —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246-test verification suite. Phi-4-mini loads through transformers' native Phi3 implementation rather than its bundled remote code, keeping its load path consistent with every other model in the study. Results will be folded into Tables 6.1–6.3, the cross-family analysis (§6.11, which now compares all family pairs rather than the first two), and the ARC capability axis (§6.4.1) once the run completes.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246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planned cross-family extension (Chapter 9): their infrastructure is complete but the TC1 run is pending, so the Chapter 6 results cover the original three pairs only.</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Planned cross-family extension (infrastructure complete; TC1 run pending).</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246 automated tests across nineteen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and attn_implementation threading (injected only when set, omitted otherwise).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Nineteen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(246 tests across 19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246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2026-06-15T06:37:41.760Z</dcterms:created>
  <dcterms:modified xsi:type="dcterms:W3CDTF">2026-06-15T06:37:41.761Z</dcterms:modified>
</cp:coreProperties>
</file>

<file path=docProps/custom.xml><?xml version="1.0" encoding="utf-8"?>
<Properties xmlns="http://schemas.openxmlformats.org/officeDocument/2006/custom-properties" xmlns:vt="http://schemas.openxmlformats.org/officeDocument/2006/docPropsVTypes"/>
</file>