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most plausibly a measurement artifact of the regex scorer, since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0.04–0.09 per pair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6.5  HarmBench ΔASR across the 128- and 512-token generation budgets.</w:t>
      </w:r>
    </w:p>
    <w:p>
      <w:pPr>
        <w:spacing w:after="60" w:line="360"/>
      </w:pPr>
      <w:r>
        <w:rPr>
          <w:rFonts w:ascii="Times New Roman" w:cs="Times New Roman" w:eastAsia="Times New Roman" w:hAnsi="Times New Roman"/>
          <w:sz w:val="22"/>
          <w:szCs w:val="22"/>
        </w:rPr>
        <w:t xml:space="preserve">Table D.1  Stable verification coverage areas.</w:t>
      </w:r>
    </w:p>
    <w:p>
      <w:pPr>
        <w:spacing w:after="60" w:line="360"/>
      </w:pPr>
      <w:r>
        <w:rPr>
          <w:rFonts w:ascii="Times New Roman" w:cs="Times New Roman" w:eastAsia="Times New Roman" w:hAnsi="Times New Roman"/>
          <w:sz w:val="22"/>
          <w:szCs w:val="22"/>
        </w:rPr>
        <w:t xml:space="preserve">Table G.1  Revision history of this FYP report.</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quantization actually engaged — checking is_loaded_in_4bit, is_loaded_in_8bit, is_quantized, and the presence of an hf_quantizer — and raises a RuntimeError refusing to proceed if none of those signals is set, so a silently unquantized load cannot be mislabelled as quantized.</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subsequent pre-registered human audit — a blinded, 200-item, disagreement-enriched single-annotator gold set — finds the judge substantially better aligned with the annotator than the regex on this construct (a mechanical Outcome J, carried as Outcome-J–consistent with one disclosed protocol deviation, §8 of the pre-registration), so that contrast is carried as most plausibly a regex measurement artifact, with the regex retained as the original pre-specified scorer-of-record for traceability and a second annotator remaining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Render a task-specific startup packet for an agent session.</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run pytest tests/ for the live inventory)</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center"/>
      </w:pPr>
      <w:r>
        <w:rPr>
          <w:rFonts w:ascii="Times New Roman" w:cs="Times New Roman" w:eastAsia="Times New Roman" w:hAnsi="Times New Roman"/>
          <w:sz w:val="18"/>
          <w:szCs w:val="18"/>
        </w:rPr>
        <w:t xml:space="preserve">Code listing 5.1  Head-node pre-cache invocation (scripts/prefetch_tc1.py).</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Exactly 3 primary contrasts survive BH-FDR: Qwen3-1.7B MMLU (−0.090, q = 0.008), Llama-3.2-3B ARC (−0.032, q = 0.008), Phi-4-mini over-refusal (−0.048, q = 0.012). No HarmBench ASR contrast survives.</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now all five pairs). For Qwen 1.7B the greedy 0.000 sits inside the seed range (mean +0.013, range [0.000, +0.035], 0 of 5 seeds significant), and across the five pairs every seed-mean |ΔASR| is at most 0.029 and every per-seed |ΔASR| at most 0.055, so the arm corroborates the null rather than an effect (with one honest nuance for the two cross-family pairs disclosed in §6.6.1: their greedy points sit just outside narrow, zero-straddling seed ranges).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from −0.01 to 0.50 under the strict mapping, and to 0.54 under the broad one), so this contrast is scorer-dependent — and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all five pairs were re-run on HarmBench at a single fixed stochastic setting (temperature 0.7, top-p 0.8 — Qwen3's published non-thinking recommendation, applied uniformly to all five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this pair's minimum detectable effect (0.079 at n = 200; the representative per-pair MDE is ≈0.06, with the five pairs spanning 0.044–0.086,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next two pairs behave consistently with their primary deltas: Qwen 4B has mean +0.029 (range [+0.010, +0.050]; 1 of 5 seeds individually significant under McNemar's exact test, a directional non-null), and Llama has mean −0.024 with no positive seed in five (range [−0.040, −0.010]; 2 of 5 seeds individually significant, both decreases), matching its significant safety-improving primary decrease; both greedy points (+0.040 and −0.040) sit inside their seed ranges. The arm has since been extended to the two cross-family pairs under the identical protocol, completing coverage of all five pairs: Mistral-7B has seed mean +0.012 (range [−0.005, +0.045], 0 of 5 seeds significant) and Phi-4-mini seed mean −0.012 (range [−0.055, +0.015], 1 of 5 seeds individually significant — and that seed, −0.055, is a decrease). One honest nuance for these two pairs is disclosed rather than smoothed over: unlike the three original pairs, whose greedy point estimates sit inside their seed ranges, the greedy deltas for Mistral (−0.020) and Phi (+0.020) fall just outside their narrow seed ranges — Mistral's just below its seed minimum, Phi's just above its seed maximum, each with the opposite sign to its seed mean. Both ranges straddle zero, the greedy–stochastic gaps are small (≤0.04) and sign-unstable, and the seed means are near zero (Mistral +0.012, Phi −0.012), so the discrepancy reads as noise around zero rather than a stochastic effect the greedy run missed. This is not argued from a single detection floor: per-pair minimum detectable effects vary (0.044–0.086 at n = 200, §6.5), and one Phi seed is itself individually significant at −0.055 (McNemar p = 0.043) — a decrease, and one of five, so it does not lift the pair-level reading. The claim carried for these pairs is 'no detectable change under either decoding regime', not greedy-versus-seed agreement in point estimate. Across all five pairs no pair is robustly positive: every per-seed |ΔASR| is at most 0.055, every seed-mean |ΔASR| at most 0.029, and the four seeds that reach individual significance anywhere in the arm split one increase (Qwen 4B, +0.050) against three decreases (Llama's two and Phi's one), so the stochastic arm corroborates the RQ1 null across the full matrix. Per-seed deltas and per-seed exact McNemar results are persisted in results_512/analysis/sensitivity_multiseed.json (judge_delta.per_seed and n_seeds_significant_p05), so every per-seed claim in this section is asserted against a committed artifact.</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 the one over-refusal survivor is most plausibly a regex measurement artifact (human-audited, §6.12 Result 6; under the validation-informed parallel family only the two capability contrasts survive, §6.5.1) —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the ten base/NF4 aliases of the primary study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[25]) is the natural complementary cross-check. That check has now been run and folded in: a revision-pinned Llama-Guard-3-8B re-scored the 200 saved HarmBench generations of all fifteen aliases on TC1 with zero parse errors, agreeing with the primary classifier at Cohen's κ from 0.36 to 0.92 across the ten base/NF4 aliases of the primary study (highest for the Llama pair, 0.89/0.92; lowest for Phi, 0.36/0.38; Qwen 0.56–0.77, Mistral 0.61/0.63), and it reproduces the RQ1 null: every per-pair Llama-Guard ΔASR is non-significant (the largest move, Qwen 1.7B −0.050, McNemar p = 0.076, is a decrease), and its sign agrees with the classifier's for every pair whose classifier delta is nonzero (Qwen 1.7B's classifier delta is exactly 0.000, so no sign is defined there). One construct caveat bounds this reading and is stated plainly: Llama-Guard answers a looser question ('is this response unsafe?') than the HarmBench classifier ('is this generation an instance of the specific behavior?'), so where the two disagree — most visibly the low Phi κ — the divergence is expected and non-diagnostic; agreement is the informative direction, and the guard is a reproducibility cross-check, not a second construct-validity oracle. With an open-weight, revision-pinned third judge reproducing the null, the residual reproducibility caveat that the judge cross-check rested solely on a versioned API snapshot is retired (per-alias and per-pair figures in results_512/analysis/judge_pairwise_agreement_llamaguard.{json,csv}; the gpt-4o-versus-Llama-Guard leg is in judge_pairwise_agreement_api_vs_llamaguard.{json,csv}).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 and the human audit below resolves which scorer to weight: the contrast is most plausibly a measurement artifact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60"/>
        <w:jc w:val="both"/>
      </w:pPr>
      <w:r>
        <w:rPr>
          <w:rFonts w:ascii="Times New Roman" w:cs="Times New Roman" w:eastAsia="Times New Roman" w:hAnsi="Times New Roman"/>
          <w:sz w:val="22"/>
          <w:szCs w:val="22"/>
        </w:rPr>
        <w:t xml:space="preserve">The human grounding for this axis has since been completed, mirroring Result 5. All 200 items of a pre-registered gold set — drawn from the same 3,750 saved responses, deliberately over-sampling the regex-versus-judge disagreements (120 of 200) and double-weighting the contested Phi and divergent Qwen-1.7B pairs, presentation-shuffled and label-blind —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J/R/T/X read-off (docs/XSTEST_GOLD_PREREG.md, whose outcome matrix was locked before any label existed) gives a mechanical Outcome J: the judge aligns substantially better with the annotator than the regex — strict-mapping Cohen's κ 0.485 versus −0.006, broad-mapping 0.662 versus 0.054 — and the two failure modes are asymmetric in kind. One protocol deviation is disclosed rather than glossed (pre-registration §8): the blindness exclusion was applied prompt-wide (the five quoted prompts removed from all ten aliases) instead of to the ≤10 pre-specified (alias, prompt) items, which under the pre-registration's strict letter voids the clean confirmatory badge — so this is reported as an Outcome-J–consistent validation carrying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these labels are a blinded single-annotator reference set, not ground truth (a single annotator can misread and drift, and no inter-rater κ exists for this set);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and the pre-registered no-swap rule (D45) was locked before the judge results existed but after the regex results were known — a timing disclosed rather than argued from. Under the Outcome-J–consistent action (the confirmatory pre-registration status withdrawn per the §8 deviation, the reporting action itself unchanged),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 it is most plausibly a measurement artifact of the regex scorer —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 second annotator with an inter-rater κ remains the residual strengthening, exactly as for Result 5.</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550"/>
        <w:gridCol w:w="2550"/>
        <w:gridCol w:w="2526"/>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52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center"/>
      </w:pPr>
      <w:r>
        <w:rPr>
          <w:rFonts w:ascii="Times New Roman" w:cs="Times New Roman" w:eastAsia="Times New Roman" w:hAnsi="Times New Roman"/>
          <w:sz w:val="18"/>
          <w:szCs w:val="18"/>
        </w:rPr>
        <w:t xml:space="preserve">Table 6.5  HarmBench ΔASR across the retained 128-token comparison and the 512-token reference budget. Source: results_512/analysis/genlen_robustness.json.</w:t>
      </w:r>
    </w:p>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now covers all five pairs (§6.6.1).</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check has now been run and folded in (§6.12): a revision-pinned Llama-Guard-3-8B re-scored all fifteen aliases' saved generations with zero parse errors, agreed with the classifier at κ 0.36–0.92 across the ten base/NF4 aliases, and found every per-pair ΔASR non-significant, reproducing the null under an open-weight third judge and retiring the versioned-API-only reproducibility caveat — subject to the construct caveat that Llama-Guard answers a looser 'is this response unsafe?' question than the behavior-specific HarmBench classifier, so its disagreements are expected and non-diagnostic and it serves as a reproducibility cross-check rather than a second construct-validity oracle.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and the pre-registered human refusal audit has since grounded that comparison: the judge aligns substantially better with a blinded single annotator than the regex (strict κ 0.485 versus −0.006, a mechanical Outcome J carried with one disclosed protocol deviation, §8),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all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all five pairs). Temperature 0.0 is used throughout the primary study, eliminating within-condition stochastic variance from the main analysis. A multi-seed (T = 0.7, top-p 0.8, five seeds) sensitivity arm was run at the 512-token reference budget and scored by the official classifier (§6.6.1); it now covers all five pairs. At 512 it corroborates the null-safety result: for Qwen 1.7B the greedy ΔASR of 0.000 sits inside the per-seed range (mean +0.013, range [0.000, +0.035], 0 of 5 seeds significant), no pair is seed-robust in the harmful direction, and for the two cross-family pairs the greedy point sits just outside a narrow seed range that straddles zero (§6.6.1) — small noise around zero, not a masked stochastic effect. The residual limitation is the arm's scope, not its coverage: it is judge-scored HarmBench only, at a single stochastic setting (T = 0.7, top-p 0.8) with five seeds; the over-refusal and capability axes remain greedy-only.</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is noted in Chapter 9 (the multi-seed arm itself now covers all five pairs, §6.6.1).</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all five pairs at the reference budget). A multi-seed arm (temperature 0.7, top-p 0.8, five seeds, official classifier) was run at the 512-token reference budget for all five pairs (§6.6.1). At 512 it corroborates the null-safety result rather than tempering a real effect: for Qwen 1.7B the greedy ΔASR of 0.000 sits inside the per-seed range (mean +0.013, range [0.000, +0.035], 0 of 5 seeds significant), Llama's seeds are all non-positive (mean −0.024), and the two cross-family pairs added by the completed extension are within noise of zero (Mistral seed mean +0.012, Phi −0.012; Phi's one significant seed is a −0.055 decrease), with their greedy points sitting just outside narrow zero-straddling seed ranges (§6.6.1). (At the truncated 128-token budget the same arm had attenuated an apparent +0.055; that effect has since been shown to be a truncation artefact, §6.16.) Raising the seed count and extending the arm beyond judge-scored HarmBench — to the over-refusal and capability axes — would complete the within-condition variance estimate.</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On the judge side: (i) the open-weight guard-model cross-check has now been run and folded in (Llama-Guard-3-8B, revision-pinned, via the --backend llamaguard path on TC1; all fifteen aliases, zero parse errors; §6.12): it agrees with the primary classifier at κ 0.36–0.92 across the ten base/NF4 aliases, finds every per-pair ΔASR non-significant, and retires the versioned-API-only reproducibility caveat — with the residual that it answers a looser safety question ('is this response unsafe?') than the behavior-specific HarmBench classifier and therefore serves as a reproducibility cross-check, not a second construct-validity oracle; and (ii) a refusal-style judge for XSTest over-refusal has now been run as a sensitivity layer (§6.12, Result 6; gpt-4o, three-class taxonomy, 3,750 responses, zero parse failures), finding the one multiplicity-robust over-refusal contrast to be scorer-dependent — and the human-labelled refusal gold set that grounds that comparison has since been completed too (200 items, blinded single annotator, a mechanical Outcome J carried with one disclosed protocol deviation, §8: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0.04–0.09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vol. 14, pp. 96771–96793, 2026, doi: 10.1109/ACCESS.2026.3703899.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Verification Coverage</w:t>
      </w:r>
    </w:p>
    <w:p>
      <w:pPr>
        <w:spacing w:after="160" w:line="360"/>
        <w:jc w:val="both"/>
      </w:pPr>
      <w:r>
        <w:rPr>
          <w:rFonts w:ascii="Times New Roman" w:cs="Times New Roman" w:eastAsia="Times New Roman" w:hAnsi="Times New Roman"/>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generation, offline bootstrap, grouping modes, resource settings, and submission safeguards.</w:t>
            </w:r>
          </w:p>
        </w:tc>
      </w:tr>
    </w:tbl>
    <w:p>
      <w:pPr>
        <w:spacing w:after="120" w:line="360"/>
      </w:pPr>
      <w:r>
        <w:rPr>
          <w:rFonts w:ascii="Times New Roman" w:cs="Times New Roman" w:eastAsia="Times New Roman" w:hAnsi="Times New Roman"/>
          <w:sz w:val="18"/>
          <w:szCs w:val="18"/>
        </w:rPr>
        <w:t xml:space="preserve">Table D.1  Stable verification coverage areas. The live test inventory is produced by pytest.</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T41 post-Phase-C audit remediation. §6.12 Result 6: the T36 gold-set result is restated from a clean "pre-registered Outcome J" to an Outcome-J–consistent validation carrying one disclosed protocol deviation (pre-registration §8) — the blindness exclusion was applied prompt-wide (five quoted prompts removed from all ten aliases) instead of the ≤10 pre-specified (alias, prompt) items, which under the pre-registration's letter voids the clean confirmatory badge; the deviation was fixed in code before the draw and before any labelling, is blindness-conservative, and displaced at most 14 of 200 items (a no-exclusion counterfactual draw overlaps the labelled set on 186, and the strict κ gap on the shared items is +0.51, unchanged from the full-sample +0.49). The substantive conclusion (the judge tracks human refusal judgment far better than the regex; the Phi −0.048 survivor is most plausibly a regex measurement artifact) and every κ value are unchanged; a redacted per-item audit trail (xstest_human_validation_items.jsonl, IDs + labels only) is now committed for independent reproduction. Also corrected: §6.6.1/Chapter 7 now state the multi-seed arm covers all five pairs (a residual "three of the five" phrasing removed); the ≈0.06 minimum-detectable-effect figure is scoped as the representative/median-pair value rather than a universal floor (per-pair MDEs span 0.044–0.086); and the open-weight LlamaGuard cross-check is reworded from "fully reproducible" to revision-pinned and locally rerunnable, with its sidecars' scorer-version provenance corrected.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T41 disclosure pass above)</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T36 human refusal gold set folded in (mechanical Outcome J; the protocol-deviation disclosure was added in the T41 pass above) +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(single-annotator reference set on a disagreement-enriched draw, not population ground truth; shared benchmark taxonomy; D45 timing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 The same 2026-07-19 pass also folds in the T37/T39 evidence: the open-weight Llama-Guard-3-8B third judge (revision-pinned, all fifteen aliases re-scored with zero parse errors, κ 0.36–0.92 versus the classifier, every per-pair ΔASR non-significant — retiring the versioned-API-only reproducibility caveat, bounded by the construct-mismatch caveat that Llama-Guard answers a looser safety question; §6.12, judge_pairwise_agreement_llamaguard.{json,csv}) and the multi-seed arm extended from three to all five pairs (Mistral seed mean +0.012, Phi −0.012, both within noise; the greedy points for these two pairs sit just outside narrow zero-straddling seed ranges, disclosed in §6.6.1; sensitivity_multiseed.json).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The classifier has since been cross-checked three times: by an independent frontier-model second judge (gpt-4o, §6.12 Result 4), against human labels on a stratified subset (§6.12 Result 5), and by an open-weight guard model (Llama-Guard-3-8B, revision-pinned; §6.12), whose revision-pinned, locally rerunnable re-scoring — unlike the versioned API judge — agrees with the classifier at κ 0.36–0.92 across the ten base/NF4 aliases and finds every per-pair ΔASR non-significant, with the construct caveat that it answers a looser safety question than the behavior-specific classifier. All three run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2026-07-19T04:50:46.389Z</dcterms:created>
  <dcterms:modified xsi:type="dcterms:W3CDTF">2026-07-19T04:50:46.390Z</dcterms:modified>
</cp:coreProperties>
</file>

<file path=docProps/custom.xml><?xml version="1.0" encoding="utf-8"?>
<Properties xmlns="http://schemas.openxmlformats.org/officeDocument/2006/custom-properties" xmlns:vt="http://schemas.openxmlformats.org/officeDocument/2006/docPropsVTypes"/>
</file>