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for the representative pair, with the five pairs spanning 0.044–0.086);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 Mistral’s greedy −0.020 just below [−0.005, +0.045], Phi’s greedy +0.020 just above [−0.055, +0.015] — small, sign-unstable gaps (each ≤0.04) around seed means that are themselves near zero (Mistral +0.012, Phi −0.012), not a directional signal the greedy run missed. This is not read off a single detection floor: per-pair minimum detectable effects vary (0.044–0.086 at n = 200), and one Phi seed is itself individually significant at −0.055 (McNemar p = 0.043) —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A third, open-weight judge — Llama-Guard-3-8B [18], revision-pinned — re-scored the 200 HarmBench generations of all fifteen aliases in the three-precision study (0 parse errors). Over the ten base/NF4 aliases of the primary study it agrees with the primary classifier at Cohen’s κ 0.36–0.92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 the low Phi κ — the divergence is expected and non-diagnostic; it is a reproducibility cross-check, not a second construct-validity oracle.</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 strict-mapping Cohen’s κ 0.485 versus −0.006, broad-mapping 0.662 versus 0.054. One protocol deviation is disclosed rather than glossed (pre-registration §8): the blindness exclusion was applied prompt-wide — the five quoted prompts removed from all ten aliases — instead of to the ≤10 pre-specified (alias, prompt) items, which under the pre-registration’s strict letter voids the clean confirmatory badge, so this is reported as an Outcome-J–consistent validation carrying one disclosed deviation rather than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(0.044–0.086 across the five),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a mechanical Outcome J carried with one disclosed protocol deviation, prereg §8); both groundings rest on a single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a mechanical Outcome J carried with one disclosed protocol deviation, prereg §8: the judge aligns substantially better with the annotator than the regex). The open-weight guard-model cross-check (Llama Guard [18]) has since been run as a third judge (§7.2), so the residual on that axis is the annotator, not the instrument.</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2026-07-19T04:54:57.222Z</dcterms:created>
  <dcterms:modified xsi:type="dcterms:W3CDTF">2026-07-19T04:54:57.223Z</dcterms:modified>
</cp:coreProperties>
</file>

<file path=docProps/custom.xml><?xml version="1.0" encoding="utf-8"?>
<Properties xmlns="http://schemas.openxmlformats.org/officeDocument/2006/custom-properties" xmlns:vt="http://schemas.openxmlformats.org/officeDocument/2006/docPropsVTypes"/>
</file>