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w:hAnsi="Aptos"/>
          <w:b/>
          <w:color w:val="0F172A"/>
          <w:sz w:val="50"/>
        </w:rPr>
        <w:t>fyp_quant Repo-Native Agent Harness</w:t>
      </w:r>
    </w:p>
    <w:p>
      <w:pPr>
        <w:spacing w:after="140"/>
        <w:jc w:val="center"/>
      </w:pPr>
      <w:r>
        <w:rPr>
          <w:rFonts w:ascii="Aptos" w:hAnsi="Aptos"/>
          <w:b/>
          <w:color w:val="2F80C5"/>
          <w:sz w:val="22"/>
        </w:rPr>
        <w:t>Architecture explanation, presentation script, and practical workflow guide</w:t>
      </w:r>
    </w:p>
    <w:tbl>
      <w:tblPr>
        <w:tblW w:type="auto" w:w="0"/>
        <w:jc w:val="center"/>
        <w:tblLayout w:type="fixed"/>
        <w:tblLook w:firstColumn="1" w:firstRow="1" w:lastColumn="0" w:lastRow="0" w:noHBand="0" w:noVBand="1" w:val="04A0"/>
      </w:tblPr>
      <w:tblGrid>
        <w:gridCol w:w="14256"/>
      </w:tblGrid>
      <w:tr>
        <w:tc>
          <w:tcPr>
            <w:tcW w:type="dxa" w:w="12960"/>
            <w:shd w:fill="EFFAFB"/>
            <w:tcBorders>
              <w:top w:val="single" w:sz="10" w:space="0" w:color="2494A3"/>
              <w:left w:val="single" w:sz="10" w:space="0" w:color="2494A3"/>
              <w:bottom w:val="single" w:sz="10" w:space="0" w:color="2494A3"/>
              <w:right w:val="single" w:sz="10" w:space="0" w:color="2494A3"/>
            </w:tcBorders>
            <w:tcMar>
              <w:top w:w="130" w:type="dxa"/>
              <w:start w:w="170" w:type="dxa"/>
              <w:bottom w:w="130" w:type="dxa"/>
              <w:end w:w="170" w:type="dxa"/>
            </w:tcMar>
            <w:vAlign w:val="center"/>
          </w:tcPr>
          <w:p>
            <w:pPr>
              <w:spacing w:after="40"/>
            </w:pPr>
            <w:r>
              <w:rPr>
                <w:rFonts w:ascii="Aptos" w:hAnsi="Aptos"/>
                <w:b/>
                <w:color w:val="0F172A"/>
                <w:sz w:val="20"/>
              </w:rPr>
              <w:t>One-sentence explanation</w:t>
            </w:r>
          </w:p>
          <w:p>
            <w:pPr>
              <w:spacing w:after="0"/>
            </w:pPr>
            <w:r>
              <w:rPr>
                <w:rFonts w:ascii="Aptos" w:hAnsi="Aptos"/>
                <w:b w:val="0"/>
                <w:color w:val="334155"/>
                <w:sz w:val="18"/>
              </w:rPr>
              <w:t>I use Codex as a repo-native research operating system: the repo gives the agent durable memory, scoped tasks, context-isolated reviewers, executable checks, protected evidence, and recoverable handoffs.</w:t>
            </w: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7128"/>
            <w:tcMar>
              <w:top w:w="125" w:type="dxa"/>
              <w:start w:w="150" w:type="dxa"/>
              <w:bottom w:w="125" w:type="dxa"/>
              <w:end w:w="150" w:type="dxa"/>
            </w:tcMar>
            <w:tcBorders>
              <w:top w:val="single" w:sz="10" w:space="0" w:color="2F80C5"/>
              <w:left w:val="single" w:sz="10" w:space="0" w:color="2F80C5"/>
              <w:bottom w:val="single" w:sz="10" w:space="0" w:color="2F80C5"/>
              <w:right w:val="single" w:sz="10" w:space="0" w:color="2F80C5"/>
            </w:tcBorders>
            <w:shd w:fill="EEF6FF"/>
          </w:tcPr>
          <w:p>
            <w:r>
              <w:rPr>
                <w:rFonts w:ascii="Aptos" w:hAnsi="Aptos"/>
                <w:b/>
                <w:color w:val="0F172A"/>
                <w:sz w:val="20"/>
              </w:rPr>
              <w:t>For presentation</w:t>
            </w:r>
          </w:p>
          <w:p>
            <w:r>
              <w:rPr>
                <w:rFonts w:ascii="Aptos" w:hAnsi="Aptos"/>
                <w:b/>
                <w:color w:val="2F80C5"/>
                <w:sz w:val="16"/>
              </w:rPr>
              <w:t>What to say on stage</w:t>
            </w:r>
          </w:p>
          <w:p>
            <w:pPr>
              <w:spacing w:after="20"/>
              <w:ind w:left="216" w:hanging="144"/>
            </w:pPr>
            <w:r>
              <w:rPr>
                <w:rFonts w:ascii="Aptos" w:hAnsi="Aptos"/>
                <w:b w:val="0"/>
                <w:color w:val="334155"/>
                <w:sz w:val="16"/>
              </w:rPr>
              <w:t>- Use the diagram as the main visual anchor.</w:t>
            </w:r>
          </w:p>
          <w:p>
            <w:pPr>
              <w:spacing w:after="20"/>
              <w:ind w:left="216" w:hanging="144"/>
            </w:pPr>
            <w:r>
              <w:rPr>
                <w:rFonts w:ascii="Aptos" w:hAnsi="Aptos"/>
                <w:b w:val="0"/>
                <w:color w:val="334155"/>
                <w:sz w:val="16"/>
              </w:rPr>
              <w:t>- Explain the harness as a research operating system.</w:t>
            </w:r>
          </w:p>
        </w:tc>
        <w:tc>
          <w:tcPr>
            <w:tcW w:type="dxa" w:w="7128"/>
            <w:tcMar>
              <w:top w:w="125" w:type="dxa"/>
              <w:start w:w="150" w:type="dxa"/>
              <w:bottom w:w="125" w:type="dxa"/>
              <w:end w:w="150" w:type="dxa"/>
            </w:tcMar>
            <w:tcBorders>
              <w:top w:val="single" w:sz="10" w:space="0" w:color="2C9A67"/>
              <w:left w:val="single" w:sz="10" w:space="0" w:color="2C9A67"/>
              <w:bottom w:val="single" w:sz="10" w:space="0" w:color="2C9A67"/>
              <w:right w:val="single" w:sz="10" w:space="0" w:color="2C9A67"/>
            </w:tcBorders>
            <w:shd w:fill="F2FAF5"/>
          </w:tcPr>
          <w:p>
            <w:r>
              <w:rPr>
                <w:rFonts w:ascii="Aptos" w:hAnsi="Aptos"/>
                <w:b/>
                <w:color w:val="0F172A"/>
                <w:sz w:val="20"/>
              </w:rPr>
              <w:t>For your own understanding</w:t>
            </w:r>
          </w:p>
          <w:p>
            <w:r>
              <w:rPr>
                <w:rFonts w:ascii="Aptos" w:hAnsi="Aptos"/>
                <w:b/>
                <w:color w:val="2C9A67"/>
                <w:sz w:val="16"/>
              </w:rPr>
              <w:t>How to reason about the repo</w:t>
            </w:r>
          </w:p>
          <w:p>
            <w:pPr>
              <w:spacing w:after="20"/>
              <w:ind w:left="216" w:hanging="144"/>
            </w:pPr>
            <w:r>
              <w:rPr>
                <w:rFonts w:ascii="Aptos" w:hAnsi="Aptos"/>
                <w:b w:val="0"/>
                <w:color w:val="334155"/>
                <w:sz w:val="16"/>
              </w:rPr>
              <w:t>- Separate repo memory, task routing, subagents, checks, and evidence.</w:t>
            </w:r>
          </w:p>
          <w:p>
            <w:pPr>
              <w:spacing w:after="20"/>
              <w:ind w:left="216" w:hanging="144"/>
            </w:pPr>
            <w:r>
              <w:rPr>
                <w:rFonts w:ascii="Aptos" w:hAnsi="Aptos"/>
                <w:b w:val="0"/>
                <w:color w:val="334155"/>
                <w:sz w:val="16"/>
              </w:rPr>
              <w:t>- Use the scenarios as your mental model.</w:t>
            </w:r>
          </w:p>
        </w:tc>
      </w:tr>
      <w:tr>
        <w:tc>
          <w:tcPr>
            <w:tcW w:type="dxa" w:w="7128"/>
            <w:tcMar>
              <w:top w:w="125" w:type="dxa"/>
              <w:start w:w="150" w:type="dxa"/>
              <w:bottom w:w="125" w:type="dxa"/>
              <w:end w:w="150" w:type="dxa"/>
            </w:tcMar>
            <w:tcBorders>
              <w:top w:val="single" w:sz="10" w:space="0" w:color="8A63C8"/>
              <w:left w:val="single" w:sz="10" w:space="0" w:color="8A63C8"/>
              <w:bottom w:val="single" w:sz="10" w:space="0" w:color="8A63C8"/>
              <w:right w:val="single" w:sz="10" w:space="0" w:color="8A63C8"/>
            </w:tcBorders>
            <w:shd w:fill="F7F0FF"/>
          </w:tcPr>
          <w:p>
            <w:r>
              <w:rPr>
                <w:rFonts w:ascii="Aptos" w:hAnsi="Aptos"/>
                <w:b/>
                <w:color w:val="0F172A"/>
                <w:sz w:val="20"/>
              </w:rPr>
              <w:t>For workflow demos</w:t>
            </w:r>
          </w:p>
          <w:p>
            <w:r>
              <w:rPr>
                <w:rFonts w:ascii="Aptos" w:hAnsi="Aptos"/>
                <w:b/>
                <w:color w:val="8A63C8"/>
                <w:sz w:val="16"/>
              </w:rPr>
              <w:t>What to actually show</w:t>
            </w:r>
          </w:p>
          <w:p>
            <w:pPr>
              <w:spacing w:after="20"/>
              <w:ind w:left="216" w:hanging="144"/>
            </w:pPr>
            <w:r>
              <w:rPr>
                <w:rFonts w:ascii="Aptos" w:hAnsi="Aptos"/>
                <w:b w:val="0"/>
                <w:color w:val="334155"/>
                <w:sz w:val="16"/>
              </w:rPr>
              <w:t>- Run agent-status, agent-start, then make agent-check.</w:t>
            </w:r>
          </w:p>
          <w:p>
            <w:pPr>
              <w:spacing w:after="20"/>
              <w:ind w:left="216" w:hanging="144"/>
            </w:pPr>
            <w:r>
              <w:rPr>
                <w:rFonts w:ascii="Aptos" w:hAnsi="Aptos"/>
                <w:b w:val="0"/>
                <w:color w:val="334155"/>
                <w:sz w:val="16"/>
              </w:rPr>
              <w:t>- Show how handoff/dashboard files recover the next session.</w:t>
            </w:r>
          </w:p>
        </w:tc>
        <w:tc>
          <w:tcPr>
            <w:tcW w:type="dxa" w:w="7128"/>
            <w:tcMar>
              <w:top w:w="125" w:type="dxa"/>
              <w:start w:w="150" w:type="dxa"/>
              <w:bottom w:w="125" w:type="dxa"/>
              <w:end w:w="150" w:type="dxa"/>
            </w:tcMar>
            <w:tcBorders>
              <w:top w:val="single" w:sz="10" w:space="0" w:color="C6812D"/>
              <w:left w:val="single" w:sz="10" w:space="0" w:color="C6812D"/>
              <w:bottom w:val="single" w:sz="10" w:space="0" w:color="C6812D"/>
              <w:right w:val="single" w:sz="10" w:space="0" w:color="C6812D"/>
            </w:tcBorders>
            <w:shd w:fill="FFF5E8"/>
          </w:tcPr>
          <w:p>
            <w:r>
              <w:rPr>
                <w:rFonts w:ascii="Aptos" w:hAnsi="Aptos"/>
                <w:b/>
                <w:color w:val="0F172A"/>
                <w:sz w:val="20"/>
              </w:rPr>
              <w:t>For research integrity</w:t>
            </w:r>
          </w:p>
          <w:p>
            <w:r>
              <w:rPr>
                <w:rFonts w:ascii="Aptos" w:hAnsi="Aptos"/>
                <w:b/>
                <w:color w:val="C6812D"/>
                <w:sz w:val="16"/>
              </w:rPr>
              <w:t>Why this is more than productivity</w:t>
            </w:r>
          </w:p>
          <w:p>
            <w:pPr>
              <w:spacing w:after="20"/>
              <w:ind w:left="216" w:hanging="144"/>
            </w:pPr>
            <w:r>
              <w:rPr>
                <w:rFonts w:ascii="Aptos" w:hAnsi="Aptos"/>
                <w:b w:val="0"/>
                <w:color w:val="334155"/>
                <w:sz w:val="16"/>
              </w:rPr>
              <w:t>- Raw TC1 outputs are protected.</w:t>
            </w:r>
          </w:p>
          <w:p>
            <w:pPr>
              <w:spacing w:after="20"/>
              <w:ind w:left="216" w:hanging="144"/>
            </w:pPr>
            <w:r>
              <w:rPr>
                <w:rFonts w:ascii="Aptos" w:hAnsi="Aptos"/>
                <w:b w:val="0"/>
                <w:color w:val="334155"/>
                <w:sz w:val="16"/>
              </w:rPr>
              <w:t>- Scoring corrections become derived sidecars with a logged audit trail.</w:t>
            </w:r>
          </w:p>
        </w:tc>
      </w:tr>
    </w:tbl>
    <w:p>
      <w:pPr>
        <w:spacing w:after="40"/>
      </w:pPr>
    </w:p>
    <w:p>
      <w:r>
        <w:br w:type="page"/>
      </w:r>
    </w:p>
    <w:p>
      <w:pPr>
        <w:spacing w:after="40"/>
        <w:jc w:val="center"/>
      </w:pPr>
      <w:r>
        <w:drawing>
          <wp:inline xmlns:a="http://schemas.openxmlformats.org/drawingml/2006/main" xmlns:pic="http://schemas.openxmlformats.org/drawingml/2006/picture">
            <wp:extent cx="8412480" cy="5980748"/>
            <wp:docPr id="1" name="Picture 1"/>
            <wp:cNvGraphicFramePr>
              <a:graphicFrameLocks noChangeAspect="1"/>
            </wp:cNvGraphicFramePr>
            <a:graphic>
              <a:graphicData uri="http://schemas.openxmlformats.org/drawingml/2006/picture">
                <pic:pic>
                  <pic:nvPicPr>
                    <pic:cNvPr id="0" name="fyp_quant_integrated_agentic_stack.png"/>
                    <pic:cNvPicPr/>
                  </pic:nvPicPr>
                  <pic:blipFill>
                    <a:blip r:embed="rId9"/>
                    <a:stretch>
                      <a:fillRect/>
                    </a:stretch>
                  </pic:blipFill>
                  <pic:spPr>
                    <a:xfrm>
                      <a:off x="0" y="0"/>
                      <a:ext cx="8412480" cy="5980748"/>
                    </a:xfrm>
                    <a:prstGeom prst="rect"/>
                  </pic:spPr>
                </pic:pic>
              </a:graphicData>
            </a:graphic>
          </wp:inline>
        </w:drawing>
      </w:r>
    </w:p>
    <w:p>
      <w:pPr>
        <w:spacing w:after="60"/>
        <w:jc w:val="center"/>
      </w:pPr>
      <w:r>
        <w:rPr>
          <w:rFonts w:ascii="Aptos" w:hAnsi="Aptos"/>
          <w:b w:val="0"/>
          <w:color w:val="334155"/>
          <w:sz w:val="16"/>
        </w:rPr>
        <w:t>Figure 1. Integrated agentic stack: folder hierarchy, harness lifecycle, subagents, checks, benchmark pipeline, and evidence contract.</w:t>
      </w:r>
    </w:p>
    <w:p>
      <w:r>
        <w:br w:type="page"/>
      </w:r>
    </w:p>
    <w:p>
      <w:pPr>
        <w:spacing w:before="200" w:after="80"/>
      </w:pPr>
      <w:r>
        <w:rPr>
          <w:rFonts w:ascii="Aptos" w:hAnsi="Aptos"/>
          <w:b/>
          <w:color w:val="0F172A"/>
          <w:sz w:val="36"/>
        </w:rPr>
        <w:t>How to read the architecture</w:t>
      </w:r>
    </w:p>
    <w:tbl>
      <w:tblPr>
        <w:tblW w:type="auto" w:w="0"/>
        <w:jc w:val="center"/>
        <w:tblLayout w:type="fixed"/>
        <w:tblLook w:firstColumn="1" w:firstRow="1" w:lastColumn="0" w:lastRow="0" w:noHBand="0" w:noVBand="1" w:val="04A0"/>
      </w:tblPr>
      <w:tblGrid>
        <w:gridCol w:w="7128"/>
        <w:gridCol w:w="7128"/>
      </w:tblGrid>
      <w:tr>
        <w:tc>
          <w:tcPr>
            <w:tcW w:type="dxa" w:w="7128"/>
            <w:tcMar>
              <w:top w:w="125" w:type="dxa"/>
              <w:start w:w="150" w:type="dxa"/>
              <w:bottom w:w="125" w:type="dxa"/>
              <w:end w:w="150" w:type="dxa"/>
            </w:tcMar>
            <w:tcBorders>
              <w:top w:val="single" w:sz="10" w:space="0" w:color="2F80C5"/>
              <w:left w:val="single" w:sz="10" w:space="0" w:color="2F80C5"/>
              <w:bottom w:val="single" w:sz="10" w:space="0" w:color="2F80C5"/>
              <w:right w:val="single" w:sz="10" w:space="0" w:color="2F80C5"/>
            </w:tcBorders>
            <w:shd w:fill="EEF6FF"/>
          </w:tcPr>
          <w:p>
            <w:r>
              <w:rPr>
                <w:rFonts w:ascii="Aptos" w:hAnsi="Aptos"/>
                <w:b/>
                <w:color w:val="0F172A"/>
                <w:sz w:val="20"/>
              </w:rPr>
              <w:t>1. Folder hierarchy</w:t>
            </w:r>
          </w:p>
          <w:p>
            <w:r>
              <w:rPr>
                <w:rFonts w:ascii="Aptos" w:hAnsi="Aptos"/>
                <w:b/>
                <w:color w:val="2F80C5"/>
                <w:sz w:val="16"/>
              </w:rPr>
              <w:t>Where the repo stores responsibility</w:t>
            </w:r>
          </w:p>
          <w:p>
            <w:pPr>
              <w:spacing w:after="20"/>
              <w:ind w:left="216" w:hanging="144"/>
            </w:pPr>
            <w:r>
              <w:rPr>
                <w:rFonts w:ascii="Aptos" w:hAnsi="Aptos"/>
                <w:b w:val="0"/>
                <w:color w:val="334155"/>
                <w:sz w:val="16"/>
              </w:rPr>
              <w:t>- Agent OS files store instructions, state, task packets, skills, subagents, hooks, and CI.</w:t>
            </w:r>
          </w:p>
          <w:p>
            <w:pPr>
              <w:spacing w:after="20"/>
              <w:ind w:left="216" w:hanging="144"/>
            </w:pPr>
            <w:r>
              <w:rPr>
                <w:rFonts w:ascii="Aptos" w:hAnsi="Aptos"/>
                <w:b w:val="0"/>
                <w:color w:val="334155"/>
                <w:sz w:val="16"/>
              </w:rPr>
              <w:t>- Research core files run benchmarks, model loading, analysis, judging, and SLURM helpers.</w:t>
            </w:r>
          </w:p>
          <w:p>
            <w:pPr>
              <w:spacing w:after="20"/>
              <w:ind w:left="216" w:hanging="144"/>
            </w:pPr>
            <w:r>
              <w:rPr>
                <w:rFonts w:ascii="Aptos" w:hAnsi="Aptos"/>
                <w:b w:val="0"/>
                <w:color w:val="334155"/>
                <w:sz w:val="16"/>
              </w:rPr>
              <w:t>- Evidence files store raw outputs, derived sidecars, analysis, report, and visuals.</w:t>
            </w:r>
          </w:p>
        </w:tc>
        <w:tc>
          <w:tcPr>
            <w:tcW w:type="dxa" w:w="7128"/>
            <w:tcMar>
              <w:top w:w="125" w:type="dxa"/>
              <w:start w:w="150" w:type="dxa"/>
              <w:bottom w:w="125" w:type="dxa"/>
              <w:end w:w="150" w:type="dxa"/>
            </w:tcMar>
            <w:tcBorders>
              <w:top w:val="single" w:sz="10" w:space="0" w:color="2494A3"/>
              <w:left w:val="single" w:sz="10" w:space="0" w:color="2494A3"/>
              <w:bottom w:val="single" w:sz="10" w:space="0" w:color="2494A3"/>
              <w:right w:val="single" w:sz="10" w:space="0" w:color="2494A3"/>
            </w:tcBorders>
            <w:shd w:fill="EFFAFB"/>
          </w:tcPr>
          <w:p>
            <w:r>
              <w:rPr>
                <w:rFonts w:ascii="Aptos" w:hAnsi="Aptos"/>
                <w:b/>
                <w:color w:val="0F172A"/>
                <w:sz w:val="20"/>
              </w:rPr>
              <w:t>2. Agent harness control plane</w:t>
            </w:r>
          </w:p>
          <w:p>
            <w:r>
              <w:rPr>
                <w:rFonts w:ascii="Aptos" w:hAnsi="Aptos"/>
                <w:b/>
                <w:color w:val="2494A3"/>
                <w:sz w:val="16"/>
              </w:rPr>
              <w:t>How a fresh session becomes safe and useful</w:t>
            </w:r>
          </w:p>
          <w:p>
            <w:pPr>
              <w:spacing w:after="20"/>
              <w:ind w:left="216" w:hanging="144"/>
            </w:pPr>
            <w:r>
              <w:rPr>
                <w:rFonts w:ascii="Aptos" w:hAnsi="Aptos"/>
                <w:b w:val="0"/>
                <w:color w:val="334155"/>
                <w:sz w:val="16"/>
              </w:rPr>
              <w:t>- The agent starts from AGENTS.md and docs/PROJECT_LOG.md, not from chat memory.</w:t>
            </w:r>
          </w:p>
          <w:p>
            <w:pPr>
              <w:spacing w:after="20"/>
              <w:ind w:left="216" w:hanging="144"/>
            </w:pPr>
            <w:r>
              <w:rPr>
                <w:rFonts w:ascii="Aptos" w:hAnsi="Aptos"/>
                <w:b w:val="0"/>
                <w:color w:val="334155"/>
                <w:sz w:val="16"/>
              </w:rPr>
              <w:t>- agent-start loads a small task packet and recommends a focused subagent.</w:t>
            </w:r>
          </w:p>
          <w:p>
            <w:pPr>
              <w:spacing w:after="20"/>
              <w:ind w:left="216" w:hanging="144"/>
            </w:pPr>
            <w:r>
              <w:rPr>
                <w:rFonts w:ascii="Aptos" w:hAnsi="Aptos"/>
                <w:b w:val="0"/>
                <w:color w:val="334155"/>
                <w:sz w:val="16"/>
              </w:rPr>
              <w:t>- make agent-check is the finish gate before handoff or commit.</w:t>
            </w:r>
          </w:p>
        </w:tc>
      </w:tr>
      <w:tr>
        <w:tc>
          <w:tcPr>
            <w:tcW w:type="dxa" w:w="7128"/>
            <w:tcMar>
              <w:top w:w="125" w:type="dxa"/>
              <w:start w:w="150" w:type="dxa"/>
              <w:bottom w:w="125" w:type="dxa"/>
              <w:end w:w="150" w:type="dxa"/>
            </w:tcMar>
            <w:tcBorders>
              <w:top w:val="single" w:sz="10" w:space="0" w:color="8A63C8"/>
              <w:left w:val="single" w:sz="10" w:space="0" w:color="8A63C8"/>
              <w:bottom w:val="single" w:sz="10" w:space="0" w:color="8A63C8"/>
              <w:right w:val="single" w:sz="10" w:space="0" w:color="8A63C8"/>
            </w:tcBorders>
            <w:shd w:fill="F7F0FF"/>
          </w:tcPr>
          <w:p>
            <w:r>
              <w:rPr>
                <w:rFonts w:ascii="Aptos" w:hAnsi="Aptos"/>
                <w:b/>
                <w:color w:val="0F172A"/>
                <w:sz w:val="20"/>
              </w:rPr>
              <w:t>3. Multi-agent layer</w:t>
            </w:r>
          </w:p>
          <w:p>
            <w:r>
              <w:rPr>
                <w:rFonts w:ascii="Aptos" w:hAnsi="Aptos"/>
                <w:b/>
                <w:color w:val="8A63C8"/>
                <w:sz w:val="16"/>
              </w:rPr>
              <w:t>How context isolation works</w:t>
            </w:r>
          </w:p>
          <w:p>
            <w:pPr>
              <w:spacing w:after="20"/>
              <w:ind w:left="216" w:hanging="144"/>
            </w:pPr>
            <w:r>
              <w:rPr>
                <w:rFonts w:ascii="Aptos" w:hAnsi="Aptos"/>
                <w:b w:val="0"/>
                <w:color w:val="334155"/>
                <w:sz w:val="16"/>
              </w:rPr>
              <w:t>- The main Codex session owns edits, final judgement, and project-log updates.</w:t>
            </w:r>
          </w:p>
          <w:p>
            <w:pPr>
              <w:spacing w:after="20"/>
              <w:ind w:left="216" w:hanging="144"/>
            </w:pPr>
            <w:r>
              <w:rPr>
                <w:rFonts w:ascii="Aptos" w:hAnsi="Aptos"/>
                <w:b w:val="0"/>
                <w:color w:val="334155"/>
                <w:sz w:val="16"/>
              </w:rPr>
              <w:t>- Subagents audit one slice: report, artifacts, TC1 ops, judge validation, or meetup story.</w:t>
            </w:r>
          </w:p>
          <w:p>
            <w:pPr>
              <w:spacing w:after="20"/>
              <w:ind w:left="216" w:hanging="144"/>
            </w:pPr>
            <w:r>
              <w:rPr>
                <w:rFonts w:ascii="Aptos" w:hAnsi="Aptos"/>
                <w:b w:val="0"/>
                <w:color w:val="334155"/>
                <w:sz w:val="16"/>
              </w:rPr>
              <w:t>- Skills are loaded only when relevant, reducing context pressure.</w:t>
            </w:r>
          </w:p>
        </w:tc>
        <w:tc>
          <w:tcPr>
            <w:tcW w:type="dxa" w:w="7128"/>
            <w:tcMar>
              <w:top w:w="125" w:type="dxa"/>
              <w:start w:w="150" w:type="dxa"/>
              <w:bottom w:w="125" w:type="dxa"/>
              <w:end w:w="150" w:type="dxa"/>
            </w:tcMar>
            <w:tcBorders>
              <w:top w:val="single" w:sz="10" w:space="0" w:color="C6812D"/>
              <w:left w:val="single" w:sz="10" w:space="0" w:color="C6812D"/>
              <w:bottom w:val="single" w:sz="10" w:space="0" w:color="C6812D"/>
              <w:right w:val="single" w:sz="10" w:space="0" w:color="C6812D"/>
            </w:tcBorders>
            <w:shd w:fill="FFF5E8"/>
          </w:tcPr>
          <w:p>
            <w:r>
              <w:rPr>
                <w:rFonts w:ascii="Aptos" w:hAnsi="Aptos"/>
                <w:b/>
                <w:color w:val="0F172A"/>
                <w:sz w:val="20"/>
              </w:rPr>
              <w:t>4. Evidence contract</w:t>
            </w:r>
          </w:p>
          <w:p>
            <w:r>
              <w:rPr>
                <w:rFonts w:ascii="Aptos" w:hAnsi="Aptos"/>
                <w:b/>
                <w:color w:val="C6812D"/>
                <w:sz w:val="16"/>
              </w:rPr>
              <w:t>Why the system protects research integrity</w:t>
            </w:r>
          </w:p>
          <w:p>
            <w:pPr>
              <w:spacing w:after="20"/>
              <w:ind w:left="216" w:hanging="144"/>
            </w:pPr>
            <w:r>
              <w:rPr>
                <w:rFonts w:ascii="Aptos" w:hAnsi="Aptos"/>
                <w:b w:val="0"/>
                <w:color w:val="334155"/>
                <w:sz w:val="16"/>
              </w:rPr>
              <w:t>- raw.jsonl and summary.json are treated as immutable TC1-original evidence.</w:t>
            </w:r>
          </w:p>
          <w:p>
            <w:pPr>
              <w:spacing w:after="20"/>
              <w:ind w:left="216" w:hanging="144"/>
            </w:pPr>
            <w:r>
              <w:rPr>
                <w:rFonts w:ascii="Aptos" w:hAnsi="Aptos"/>
                <w:b w:val="0"/>
                <w:color w:val="334155"/>
                <w:sz w:val="16"/>
              </w:rPr>
              <w:t>- Scoring corrections write sidecars such as scores.v2.* and scores.judge.*.</w:t>
            </w:r>
          </w:p>
          <w:p>
            <w:pPr>
              <w:spacing w:after="20"/>
              <w:ind w:left="216" w:hanging="144"/>
            </w:pPr>
            <w:r>
              <w:rPr>
                <w:rFonts w:ascii="Aptos" w:hAnsi="Aptos"/>
                <w:b w:val="0"/>
                <w:color w:val="334155"/>
                <w:sz w:val="16"/>
              </w:rPr>
              <w:t>- Generated handoff/dashboard artifacts help the next agent recover without exposing raw HarmBench text.</w:t>
            </w:r>
          </w:p>
        </w:tc>
      </w:tr>
    </w:tbl>
    <w:p>
      <w:pPr>
        <w:spacing w:after="40"/>
      </w:pPr>
    </w:p>
    <w:p>
      <w:r>
        <w:br w:type="page"/>
      </w:r>
    </w:p>
    <w:p>
      <w:pPr>
        <w:spacing w:before="200" w:after="80"/>
      </w:pPr>
      <w:r>
        <w:rPr>
          <w:rFonts w:ascii="Aptos" w:hAnsi="Aptos"/>
          <w:b/>
          <w:color w:val="0F172A"/>
          <w:sz w:val="36"/>
        </w:rPr>
        <w:t>What the harness actually does</w:t>
      </w:r>
    </w:p>
    <w:tbl>
      <w:tblPr>
        <w:tblW w:type="auto" w:w="0"/>
        <w:jc w:val="center"/>
        <w:tblLayout w:type="fixed"/>
        <w:tblLook w:firstColumn="1" w:firstRow="1" w:lastColumn="0" w:lastRow="0" w:noHBand="0" w:noVBand="1" w:val="04A0"/>
      </w:tblPr>
      <w:tblGrid>
        <w:gridCol w:w="14256"/>
      </w:tblGrid>
      <w:tr>
        <w:tc>
          <w:tcPr>
            <w:tcW w:type="dxa" w:w="12960"/>
            <w:shd w:fill="F2FAF5"/>
            <w:tcBorders>
              <w:top w:val="single" w:sz="10" w:space="0" w:color="2C9A67"/>
              <w:left w:val="single" w:sz="10" w:space="0" w:color="2C9A67"/>
              <w:bottom w:val="single" w:sz="10" w:space="0" w:color="2C9A67"/>
              <w:right w:val="single" w:sz="10" w:space="0" w:color="2C9A67"/>
            </w:tcBorders>
            <w:tcMar>
              <w:top w:w="130" w:type="dxa"/>
              <w:start w:w="170" w:type="dxa"/>
              <w:bottom w:w="130" w:type="dxa"/>
              <w:end w:w="170" w:type="dxa"/>
            </w:tcMar>
            <w:vAlign w:val="center"/>
          </w:tcPr>
          <w:p>
            <w:pPr>
              <w:spacing w:after="40"/>
            </w:pPr>
            <w:r>
              <w:rPr>
                <w:rFonts w:ascii="Aptos" w:hAnsi="Aptos"/>
                <w:b/>
                <w:color w:val="0F172A"/>
                <w:sz w:val="20"/>
              </w:rPr>
              <w:t>The mental model</w:t>
            </w:r>
          </w:p>
          <w:p>
            <w:pPr>
              <w:spacing w:after="0"/>
            </w:pPr>
            <w:r>
              <w:rPr>
                <w:rFonts w:ascii="Aptos" w:hAnsi="Aptos"/>
                <w:b w:val="0"/>
                <w:color w:val="334155"/>
                <w:sz w:val="18"/>
              </w:rPr>
              <w:t>The harness converts fragile prompt instructions into repo-native mechanisms: source-of-truth documents, task packets, machine-readable artifact policy, custom subagents, hooks, generated handoffs, and executable checks.</w:t>
            </w:r>
          </w:p>
        </w:tc>
      </w:tr>
    </w:tbl>
    <w:p>
      <w:pPr>
        <w:spacing w:after="40"/>
      </w:pPr>
    </w:p>
    <w:tbl>
      <w:tblPr>
        <w:tblW w:type="auto" w:w="0"/>
        <w:jc w:val="center"/>
        <w:tblLayout w:type="fixed"/>
        <w:tblLook w:firstColumn="1" w:firstRow="1" w:lastColumn="0" w:lastRow="0" w:noHBand="0" w:noVBand="1" w:val="04A0"/>
      </w:tblPr>
      <w:tblGrid>
        <w:gridCol w:w="7128"/>
        <w:gridCol w:w="7128"/>
      </w:tblGrid>
      <w:tr>
        <w:tc>
          <w:tcPr>
            <w:tcW w:type="dxa" w:w="7128"/>
            <w:tcMar>
              <w:top w:w="125" w:type="dxa"/>
              <w:start w:w="150" w:type="dxa"/>
              <w:bottom w:w="125" w:type="dxa"/>
              <w:end w:w="150" w:type="dxa"/>
            </w:tcMar>
            <w:tcBorders>
              <w:top w:val="single" w:sz="10" w:space="0" w:color="2F80C5"/>
              <w:left w:val="single" w:sz="10" w:space="0" w:color="2F80C5"/>
              <w:bottom w:val="single" w:sz="10" w:space="0" w:color="2F80C5"/>
              <w:right w:val="single" w:sz="10" w:space="0" w:color="2F80C5"/>
            </w:tcBorders>
            <w:shd w:fill="F8FAFC"/>
          </w:tcPr>
          <w:p>
            <w:r>
              <w:rPr>
                <w:rFonts w:ascii="Aptos" w:hAnsi="Aptos"/>
                <w:b/>
                <w:color w:val="0F172A"/>
                <w:sz w:val="20"/>
              </w:rPr>
              <w:t>Orientation</w:t>
            </w:r>
          </w:p>
          <w:p>
            <w:r>
              <w:rPr>
                <w:rFonts w:ascii="Aptos" w:hAnsi="Aptos"/>
                <w:b/>
                <w:color w:val="2F80C5"/>
                <w:sz w:val="16"/>
              </w:rPr>
              <w:t>What every agent reads first</w:t>
            </w:r>
          </w:p>
          <w:p>
            <w:pPr>
              <w:spacing w:after="20"/>
              <w:ind w:left="216" w:hanging="144"/>
            </w:pPr>
            <w:r>
              <w:rPr>
                <w:rFonts w:ascii="Aptos" w:hAnsi="Aptos"/>
                <w:b w:val="0"/>
                <w:color w:val="334155"/>
                <w:sz w:val="16"/>
              </w:rPr>
              <w:t>- AGENTS.md / CLAUDE.md: operating law.</w:t>
            </w:r>
          </w:p>
          <w:p>
            <w:pPr>
              <w:spacing w:after="20"/>
              <w:ind w:left="216" w:hanging="144"/>
            </w:pPr>
            <w:r>
              <w:rPr>
                <w:rFonts w:ascii="Aptos" w:hAnsi="Aptos"/>
                <w:b w:val="0"/>
                <w:color w:val="334155"/>
                <w:sz w:val="16"/>
              </w:rPr>
              <w:t>- docs/PROJECT_LOG.md: current truth.</w:t>
            </w:r>
          </w:p>
          <w:p>
            <w:pPr>
              <w:spacing w:after="20"/>
              <w:ind w:left="216" w:hanging="144"/>
            </w:pPr>
            <w:r>
              <w:rPr>
                <w:rFonts w:ascii="Aptos" w:hAnsi="Aptos"/>
                <w:b w:val="0"/>
                <w:color w:val="334155"/>
                <w:sz w:val="16"/>
              </w:rPr>
              <w:t>- docs/HANDOFF.md: short bridge, never source of truth.</w:t>
            </w:r>
          </w:p>
        </w:tc>
        <w:tc>
          <w:tcPr>
            <w:tcW w:type="dxa" w:w="7128"/>
            <w:tcMar>
              <w:top w:w="125" w:type="dxa"/>
              <w:start w:w="150" w:type="dxa"/>
              <w:bottom w:w="125" w:type="dxa"/>
              <w:end w:w="150" w:type="dxa"/>
            </w:tcMar>
            <w:tcBorders>
              <w:top w:val="single" w:sz="10" w:space="0" w:color="2C9A67"/>
              <w:left w:val="single" w:sz="10" w:space="0" w:color="2C9A67"/>
              <w:bottom w:val="single" w:sz="10" w:space="0" w:color="2C9A67"/>
              <w:right w:val="single" w:sz="10" w:space="0" w:color="2C9A67"/>
            </w:tcBorders>
            <w:shd w:fill="F8FAFC"/>
          </w:tcPr>
          <w:p>
            <w:r>
              <w:rPr>
                <w:rFonts w:ascii="Aptos" w:hAnsi="Aptos"/>
                <w:b/>
                <w:color w:val="0F172A"/>
                <w:sz w:val="20"/>
              </w:rPr>
              <w:t>Task routing</w:t>
            </w:r>
          </w:p>
          <w:p>
            <w:r>
              <w:rPr>
                <w:rFonts w:ascii="Aptos" w:hAnsi="Aptos"/>
                <w:b/>
                <w:color w:val="2C9A67"/>
                <w:sz w:val="16"/>
              </w:rPr>
              <w:t>How the agent avoids loading everything</w:t>
            </w:r>
          </w:p>
          <w:p>
            <w:pPr>
              <w:spacing w:after="20"/>
              <w:ind w:left="216" w:hanging="144"/>
            </w:pPr>
            <w:r>
              <w:rPr>
                <w:rFonts w:ascii="Aptos" w:hAnsi="Aptos"/>
                <w:b w:val="0"/>
                <w:color w:val="334155"/>
                <w:sz w:val="16"/>
              </w:rPr>
              <w:t>- python fyp_cli.py agent-status</w:t>
            </w:r>
          </w:p>
          <w:p>
            <w:pPr>
              <w:spacing w:after="20"/>
              <w:ind w:left="216" w:hanging="144"/>
            </w:pPr>
            <w:r>
              <w:rPr>
                <w:rFonts w:ascii="Aptos" w:hAnsi="Aptos"/>
                <w:b w:val="0"/>
                <w:color w:val="334155"/>
                <w:sz w:val="16"/>
              </w:rPr>
              <w:t>- python fyp_cli.py agent-start --task T21 --agent fyp-report-auditor</w:t>
            </w:r>
          </w:p>
          <w:p>
            <w:pPr>
              <w:spacing w:after="20"/>
              <w:ind w:left="216" w:hanging="144"/>
            </w:pPr>
            <w:r>
              <w:rPr>
                <w:rFonts w:ascii="Aptos" w:hAnsi="Aptos"/>
                <w:b w:val="0"/>
                <w:color w:val="334155"/>
                <w:sz w:val="16"/>
              </w:rPr>
              <w:t>- docs/agent_tasks/ keeps the task bounded.</w:t>
            </w:r>
          </w:p>
        </w:tc>
      </w:tr>
      <w:tr>
        <w:tc>
          <w:tcPr>
            <w:tcW w:type="dxa" w:w="7128"/>
            <w:tcMar>
              <w:top w:w="125" w:type="dxa"/>
              <w:start w:w="150" w:type="dxa"/>
              <w:bottom w:w="125" w:type="dxa"/>
              <w:end w:w="150" w:type="dxa"/>
            </w:tcMar>
            <w:tcBorders>
              <w:top w:val="single" w:sz="10" w:space="0" w:color="8A63C8"/>
              <w:left w:val="single" w:sz="10" w:space="0" w:color="8A63C8"/>
              <w:bottom w:val="single" w:sz="10" w:space="0" w:color="8A63C8"/>
              <w:right w:val="single" w:sz="10" w:space="0" w:color="8A63C8"/>
            </w:tcBorders>
            <w:shd w:fill="F8FAFC"/>
          </w:tcPr>
          <w:p>
            <w:r>
              <w:rPr>
                <w:rFonts w:ascii="Aptos" w:hAnsi="Aptos"/>
                <w:b/>
                <w:color w:val="0F172A"/>
                <w:sz w:val="20"/>
              </w:rPr>
              <w:t>Context isolation</w:t>
            </w:r>
          </w:p>
          <w:p>
            <w:r>
              <w:rPr>
                <w:rFonts w:ascii="Aptos" w:hAnsi="Aptos"/>
                <w:b/>
                <w:color w:val="8A63C8"/>
                <w:sz w:val="16"/>
              </w:rPr>
              <w:t>How review stays focused</w:t>
            </w:r>
          </w:p>
          <w:p>
            <w:pPr>
              <w:spacing w:after="20"/>
              <w:ind w:left="216" w:hanging="144"/>
            </w:pPr>
            <w:r>
              <w:rPr>
                <w:rFonts w:ascii="Aptos" w:hAnsi="Aptos"/>
                <w:b w:val="0"/>
                <w:color w:val="334155"/>
                <w:sz w:val="16"/>
              </w:rPr>
              <w:t>- fyp-report-auditor for report/log drift.</w:t>
            </w:r>
          </w:p>
          <w:p>
            <w:pPr>
              <w:spacing w:after="20"/>
              <w:ind w:left="216" w:hanging="144"/>
            </w:pPr>
            <w:r>
              <w:rPr>
                <w:rFonts w:ascii="Aptos" w:hAnsi="Aptos"/>
                <w:b w:val="0"/>
                <w:color w:val="334155"/>
                <w:sz w:val="16"/>
              </w:rPr>
              <w:t>- fyp-artifact-guardian for raw evidence and redaction.</w:t>
            </w:r>
          </w:p>
          <w:p>
            <w:pPr>
              <w:spacing w:after="20"/>
              <w:ind w:left="216" w:hanging="144"/>
            </w:pPr>
            <w:r>
              <w:rPr>
                <w:rFonts w:ascii="Aptos" w:hAnsi="Aptos"/>
                <w:b w:val="0"/>
                <w:color w:val="334155"/>
                <w:sz w:val="16"/>
              </w:rPr>
              <w:t>- fyp-tc1-ops, fyp-judge-reviewer, fyp-meetup-story for specialist checks.</w:t>
            </w:r>
          </w:p>
        </w:tc>
        <w:tc>
          <w:tcPr>
            <w:tcW w:type="dxa" w:w="7128"/>
            <w:tcMar>
              <w:top w:w="125" w:type="dxa"/>
              <w:start w:w="150" w:type="dxa"/>
              <w:bottom w:w="125" w:type="dxa"/>
              <w:end w:w="150" w:type="dxa"/>
            </w:tcMar>
            <w:tcBorders>
              <w:top w:val="single" w:sz="10" w:space="0" w:color="2494A3"/>
              <w:left w:val="single" w:sz="10" w:space="0" w:color="2494A3"/>
              <w:bottom w:val="single" w:sz="10" w:space="0" w:color="2494A3"/>
              <w:right w:val="single" w:sz="10" w:space="0" w:color="2494A3"/>
            </w:tcBorders>
            <w:shd w:fill="F8FAFC"/>
          </w:tcPr>
          <w:p>
            <w:r>
              <w:rPr>
                <w:rFonts w:ascii="Aptos" w:hAnsi="Aptos"/>
                <w:b/>
                <w:color w:val="0F172A"/>
                <w:sz w:val="20"/>
              </w:rPr>
              <w:t>Verification</w:t>
            </w:r>
          </w:p>
          <w:p>
            <w:r>
              <w:rPr>
                <w:rFonts w:ascii="Aptos" w:hAnsi="Aptos"/>
                <w:b/>
                <w:color w:val="2494A3"/>
                <w:sz w:val="16"/>
              </w:rPr>
              <w:t>How the repo says done</w:t>
            </w:r>
          </w:p>
          <w:p>
            <w:pPr>
              <w:spacing w:after="20"/>
              <w:ind w:left="216" w:hanging="144"/>
            </w:pPr>
            <w:r>
              <w:rPr>
                <w:rFonts w:ascii="Aptos" w:hAnsi="Aptos"/>
                <w:b w:val="0"/>
                <w:color w:val="334155"/>
                <w:sz w:val="16"/>
              </w:rPr>
              <w:t>- make agent-check checks docs sync, project-log discipline, immutable artifacts, stale text, redaction, report freshness, whitespace, and tests.</w:t>
            </w:r>
          </w:p>
          <w:p>
            <w:pPr>
              <w:spacing w:after="20"/>
              <w:ind w:left="216" w:hanging="144"/>
            </w:pPr>
            <w:r>
              <w:rPr>
                <w:rFonts w:ascii="Aptos" w:hAnsi="Aptos"/>
                <w:b w:val="0"/>
                <w:color w:val="334155"/>
                <w:sz w:val="16"/>
              </w:rPr>
              <w:t>- make harness-eval proves the harness catches bad states.</w:t>
            </w:r>
          </w:p>
        </w:tc>
      </w:tr>
    </w:tbl>
    <w:p>
      <w:pPr>
        <w:spacing w:after="40"/>
      </w:pPr>
    </w:p>
    <w:p>
      <w:r>
        <w:br w:type="page"/>
      </w:r>
    </w:p>
    <w:p>
      <w:pPr>
        <w:spacing w:before="200" w:after="80"/>
      </w:pPr>
      <w:r>
        <w:rPr>
          <w:rFonts w:ascii="Aptos" w:hAnsi="Aptos"/>
          <w:b/>
          <w:color w:val="0F172A"/>
          <w:sz w:val="36"/>
        </w:rPr>
        <w:t>Workflow examples</w:t>
      </w:r>
    </w:p>
    <w:p>
      <w:pPr>
        <w:spacing w:after="80" w:line="259" w:lineRule="auto"/>
      </w:pPr>
      <w:r>
        <w:rPr>
          <w:rFonts w:ascii="Aptos" w:hAnsi="Aptos"/>
          <w:b w:val="0"/>
          <w:color w:val="334155"/>
          <w:sz w:val="18"/>
        </w:rPr>
        <w:t>These scenarios are the practical story you can present: a human gives intent, the repo narrows context, Codex does scoped work, specialist agents audit risky areas, and the finish gate turns the work into evidence.</w:t>
      </w:r>
    </w:p>
    <w:p>
      <w:pPr>
        <w:spacing w:before="120" w:after="80"/>
      </w:pPr>
      <w:r>
        <w:rPr>
          <w:rFonts w:ascii="Aptos" w:hAnsi="Aptos"/>
          <w:b/>
          <w:color w:val="2F80C5"/>
          <w:sz w:val="26"/>
        </w:rPr>
        <w:t>Scenario 1: Starting a new Codex session for FYP report work</w:t>
      </w:r>
    </w:p>
    <w:tbl>
      <w:tblPr>
        <w:tblW w:type="auto" w:w="0"/>
        <w:jc w:val="center"/>
        <w:tblLayout w:type="fixed"/>
        <w:tblLook w:firstColumn="1" w:firstRow="1" w:lastColumn="0" w:lastRow="0" w:noHBand="0" w:noVBand="1" w:val="04A0"/>
      </w:tblPr>
      <w:tblGrid>
        <w:gridCol w:w="7128"/>
        <w:gridCol w:w="7128"/>
      </w:tblGrid>
      <w:tr>
        <w:tc>
          <w:tcPr>
            <w:tcW w:type="dxa" w:w="3168"/>
            <w:shd w:fill="0F172A"/>
            <w:tcBorders>
              <w:top w:val="single" w:sz="8" w:space="0" w:color="0F172A"/>
              <w:left w:val="single" w:sz="8" w:space="0" w:color="0F172A"/>
              <w:bottom w:val="single" w:sz="8" w:space="0" w:color="0F172A"/>
              <w:right w:val="single" w:sz="8" w:space="0" w:color="0F172A"/>
            </w:tcBorders>
            <w:tcMar>
              <w:top w:w="120" w:type="dxa"/>
              <w:start w:w="130" w:type="dxa"/>
              <w:bottom w:w="120" w:type="dxa"/>
              <w:end w:w="130" w:type="dxa"/>
            </w:tcMar>
          </w:tcPr>
          <w:p>
            <w:r>
              <w:rPr>
                <w:rFonts w:ascii="Aptos" w:hAnsi="Aptos"/>
                <w:b/>
                <w:color w:val="FFFFFF"/>
                <w:sz w:val="18"/>
              </w:rPr>
              <w:t>Stage</w:t>
            </w:r>
          </w:p>
        </w:tc>
        <w:tc>
          <w:tcPr>
            <w:tcW w:type="dxa" w:w="9792"/>
            <w:shd w:fill="0F172A"/>
            <w:tcBorders>
              <w:top w:val="single" w:sz="8" w:space="0" w:color="0F172A"/>
              <w:left w:val="single" w:sz="8" w:space="0" w:color="0F172A"/>
              <w:bottom w:val="single" w:sz="8" w:space="0" w:color="0F172A"/>
              <w:right w:val="single" w:sz="8" w:space="0" w:color="0F172A"/>
            </w:tcBorders>
            <w:tcMar>
              <w:top w:w="120" w:type="dxa"/>
              <w:start w:w="130" w:type="dxa"/>
              <w:bottom w:w="120" w:type="dxa"/>
              <w:end w:w="130" w:type="dxa"/>
            </w:tcMar>
          </w:tcPr>
          <w:p>
            <w:r>
              <w:rPr>
                <w:rFonts w:ascii="Aptos" w:hAnsi="Aptos"/>
                <w:b/>
                <w:color w:val="FFFFFF"/>
                <w:sz w:val="18"/>
              </w:rPr>
              <w:t>What happens in practice</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Human intent</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You say: 'Strengthen Chapter 6/7 results discussion and keep the judge-vs-v2 disagreement central.'</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Agent entry</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Codex reads AGENTS.md and docs/PROJECT_LOG.md, then runs python fyp_cli.py agent-status to understand live repo state.</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Task packet</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Codex runs python fyp_cli.py agent-start --task T21 --agent fyp-report-auditor. This loads a bounded packet instead of the entire repo story.</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Specialist audit</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The fyp-report-auditor reviews report source, PROJECT_LOG, judge_agreement outputs, and stale current-facing claims. It returns findings, not random edits.</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Implementation</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The main Codex session edits scripts/build_fyp_report.js if report-worthy, regenerates the report with make report, and updates docs/PROJECT_LOG.md.</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Finish gate</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Codex runs make agent-check. If it passes, generated handoff/dashboard files are refreshed so another session can continue.</w:t>
            </w:r>
          </w:p>
        </w:tc>
      </w:tr>
    </w:tbl>
    <w:p>
      <w:pPr>
        <w:spacing w:after="80"/>
      </w:pPr>
    </w:p>
    <w:p>
      <w:r>
        <w:br w:type="page"/>
      </w:r>
    </w:p>
    <w:p>
      <w:pPr>
        <w:spacing w:before="120" w:after="80"/>
      </w:pPr>
      <w:r>
        <w:rPr>
          <w:rFonts w:ascii="Aptos" w:hAnsi="Aptos"/>
          <w:b/>
          <w:color w:val="2F80C5"/>
          <w:sz w:val="26"/>
        </w:rPr>
        <w:t>Scenario 2: Protecting evidence after a scoring correction</w:t>
      </w:r>
    </w:p>
    <w:tbl>
      <w:tblPr>
        <w:tblW w:type="auto" w:w="0"/>
        <w:jc w:val="center"/>
        <w:tblLayout w:type="fixed"/>
        <w:tblLook w:firstColumn="1" w:firstRow="1" w:lastColumn="0" w:lastRow="0" w:noHBand="0" w:noVBand="1" w:val="04A0"/>
      </w:tblPr>
      <w:tblGrid>
        <w:gridCol w:w="7128"/>
        <w:gridCol w:w="7128"/>
      </w:tblGrid>
      <w:tr>
        <w:tc>
          <w:tcPr>
            <w:tcW w:type="dxa" w:w="3168"/>
            <w:shd w:fill="0F172A"/>
            <w:tcBorders>
              <w:top w:val="single" w:sz="8" w:space="0" w:color="0F172A"/>
              <w:left w:val="single" w:sz="8" w:space="0" w:color="0F172A"/>
              <w:bottom w:val="single" w:sz="8" w:space="0" w:color="0F172A"/>
              <w:right w:val="single" w:sz="8" w:space="0" w:color="0F172A"/>
            </w:tcBorders>
            <w:tcMar>
              <w:top w:w="120" w:type="dxa"/>
              <w:start w:w="130" w:type="dxa"/>
              <w:bottom w:w="120" w:type="dxa"/>
              <w:end w:w="130" w:type="dxa"/>
            </w:tcMar>
          </w:tcPr>
          <w:p>
            <w:r>
              <w:rPr>
                <w:rFonts w:ascii="Aptos" w:hAnsi="Aptos"/>
                <w:b/>
                <w:color w:val="FFFFFF"/>
                <w:sz w:val="18"/>
              </w:rPr>
              <w:t>Stage</w:t>
            </w:r>
          </w:p>
        </w:tc>
        <w:tc>
          <w:tcPr>
            <w:tcW w:type="dxa" w:w="9792"/>
            <w:shd w:fill="0F172A"/>
            <w:tcBorders>
              <w:top w:val="single" w:sz="8" w:space="0" w:color="0F172A"/>
              <w:left w:val="single" w:sz="8" w:space="0" w:color="0F172A"/>
              <w:bottom w:val="single" w:sz="8" w:space="0" w:color="0F172A"/>
              <w:right w:val="single" w:sz="8" w:space="0" w:color="0F172A"/>
            </w:tcBorders>
            <w:tcMar>
              <w:top w:w="120" w:type="dxa"/>
              <w:start w:w="130" w:type="dxa"/>
              <w:bottom w:w="120" w:type="dxa"/>
              <w:end w:w="130" w:type="dxa"/>
            </w:tcMar>
          </w:tcPr>
          <w:p>
            <w:r>
              <w:rPr>
                <w:rFonts w:ascii="Aptos" w:hAnsi="Aptos"/>
                <w:b/>
                <w:color w:val="FFFFFF"/>
                <w:sz w:val="18"/>
              </w:rPr>
              <w:t>What happens in practice</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Problem</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The scoring layer is wrong, but the model outputs are still valid. This was the key lesson from the refusal parser and HarmBench judge work.</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Harness rule</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The raw TC1 outputs remain immutable: results/*/*/raw.jsonl and summary.json are not overwritten.</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Safe path</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New scoring writes sidecars: scores.v2.*, summary.v2.*, scores.judge.*, and summary.judge.*.</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Subagent use</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The fyp-artifact-guardian checks immutability and redaction. The fyp-judge-reviewer checks judge sidecars and agreement analysis.</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Human explanation</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In the presentation: 'I did not ask the model to remember what happened. I made the repo remember the evidence trail.'</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Verification</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make agent-check confirms the immutable manifest, redaction scan, stale-text scan, report freshness, and tests.</w:t>
            </w:r>
          </w:p>
        </w:tc>
      </w:tr>
    </w:tbl>
    <w:p>
      <w:pPr>
        <w:spacing w:after="80"/>
      </w:pPr>
    </w:p>
    <w:p>
      <w:r>
        <w:br w:type="page"/>
      </w:r>
    </w:p>
    <w:p>
      <w:pPr>
        <w:spacing w:before="120" w:after="80"/>
      </w:pPr>
      <w:r>
        <w:rPr>
          <w:rFonts w:ascii="Aptos" w:hAnsi="Aptos"/>
          <w:b/>
          <w:color w:val="2F80C5"/>
          <w:sz w:val="26"/>
        </w:rPr>
        <w:t>Scenario 3: Running or reviewing TC1 cluster work</w:t>
      </w:r>
    </w:p>
    <w:tbl>
      <w:tblPr>
        <w:tblW w:type="auto" w:w="0"/>
        <w:jc w:val="center"/>
        <w:tblLayout w:type="fixed"/>
        <w:tblLook w:firstColumn="1" w:firstRow="1" w:lastColumn="0" w:lastRow="0" w:noHBand="0" w:noVBand="1" w:val="04A0"/>
      </w:tblPr>
      <w:tblGrid>
        <w:gridCol w:w="7128"/>
        <w:gridCol w:w="7128"/>
      </w:tblGrid>
      <w:tr>
        <w:tc>
          <w:tcPr>
            <w:tcW w:type="dxa" w:w="3168"/>
            <w:shd w:fill="0F172A"/>
            <w:tcBorders>
              <w:top w:val="single" w:sz="8" w:space="0" w:color="0F172A"/>
              <w:left w:val="single" w:sz="8" w:space="0" w:color="0F172A"/>
              <w:bottom w:val="single" w:sz="8" w:space="0" w:color="0F172A"/>
              <w:right w:val="single" w:sz="8" w:space="0" w:color="0F172A"/>
            </w:tcBorders>
            <w:tcMar>
              <w:top w:w="120" w:type="dxa"/>
              <w:start w:w="130" w:type="dxa"/>
              <w:bottom w:w="120" w:type="dxa"/>
              <w:end w:w="130" w:type="dxa"/>
            </w:tcMar>
          </w:tcPr>
          <w:p>
            <w:r>
              <w:rPr>
                <w:rFonts w:ascii="Aptos" w:hAnsi="Aptos"/>
                <w:b/>
                <w:color w:val="FFFFFF"/>
                <w:sz w:val="18"/>
              </w:rPr>
              <w:t>Stage</w:t>
            </w:r>
          </w:p>
        </w:tc>
        <w:tc>
          <w:tcPr>
            <w:tcW w:type="dxa" w:w="9792"/>
            <w:shd w:fill="0F172A"/>
            <w:tcBorders>
              <w:top w:val="single" w:sz="8" w:space="0" w:color="0F172A"/>
              <w:left w:val="single" w:sz="8" w:space="0" w:color="0F172A"/>
              <w:bottom w:val="single" w:sz="8" w:space="0" w:color="0F172A"/>
              <w:right w:val="single" w:sz="8" w:space="0" w:color="0F172A"/>
            </w:tcBorders>
            <w:tcMar>
              <w:top w:w="120" w:type="dxa"/>
              <w:start w:w="130" w:type="dxa"/>
              <w:bottom w:w="120" w:type="dxa"/>
              <w:end w:w="130" w:type="dxa"/>
            </w:tcMar>
          </w:tcPr>
          <w:p>
            <w:r>
              <w:rPr>
                <w:rFonts w:ascii="Aptos" w:hAnsi="Aptos"/>
                <w:b/>
                <w:color w:val="FFFFFF"/>
                <w:sz w:val="18"/>
              </w:rPr>
              <w:t>What happens in practice</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Human boundary</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You handle identity, VPN, MFA, and any private authentication. The agent should not pretend that these can be automated away.</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Agent role</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Codex prepares and reviews sbatch scripts, TC1 runbook steps, offline-mode variables, and safe submission commands.</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TC1 policy</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The fyp-tc1-ops subagent checks that real compute uses sbatch, not head-node Python or interactive srun.</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Artifacts</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Jobs write results into the expected results/ structure. Logs and summaries can be inspected later without exposing raw HarmBench content.</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Recovery</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docs/TC1_AGENT_CHECKLIST.md and docs/HANDOFF.md let a future agent continue from the last verified state.</w:t>
            </w:r>
          </w:p>
        </w:tc>
      </w:tr>
    </w:tbl>
    <w:p>
      <w:pPr>
        <w:spacing w:after="80"/>
      </w:pPr>
    </w:p>
    <w:p>
      <w:r>
        <w:br w:type="page"/>
      </w:r>
    </w:p>
    <w:p>
      <w:pPr>
        <w:spacing w:before="120" w:after="80"/>
      </w:pPr>
      <w:r>
        <w:rPr>
          <w:rFonts w:ascii="Aptos" w:hAnsi="Aptos"/>
          <w:b/>
          <w:color w:val="2F80C5"/>
          <w:sz w:val="26"/>
        </w:rPr>
        <w:t>Scenario 4: Preparing the Codex meetup explanation</w:t>
      </w:r>
    </w:p>
    <w:tbl>
      <w:tblPr>
        <w:tblW w:type="auto" w:w="0"/>
        <w:jc w:val="center"/>
        <w:tblLayout w:type="fixed"/>
        <w:tblLook w:firstColumn="1" w:firstRow="1" w:lastColumn="0" w:lastRow="0" w:noHBand="0" w:noVBand="1" w:val="04A0"/>
      </w:tblPr>
      <w:tblGrid>
        <w:gridCol w:w="7128"/>
        <w:gridCol w:w="7128"/>
      </w:tblGrid>
      <w:tr>
        <w:tc>
          <w:tcPr>
            <w:tcW w:type="dxa" w:w="3168"/>
            <w:shd w:fill="0F172A"/>
            <w:tcBorders>
              <w:top w:val="single" w:sz="8" w:space="0" w:color="0F172A"/>
              <w:left w:val="single" w:sz="8" w:space="0" w:color="0F172A"/>
              <w:bottom w:val="single" w:sz="8" w:space="0" w:color="0F172A"/>
              <w:right w:val="single" w:sz="8" w:space="0" w:color="0F172A"/>
            </w:tcBorders>
            <w:tcMar>
              <w:top w:w="120" w:type="dxa"/>
              <w:start w:w="130" w:type="dxa"/>
              <w:bottom w:w="120" w:type="dxa"/>
              <w:end w:w="130" w:type="dxa"/>
            </w:tcMar>
          </w:tcPr>
          <w:p>
            <w:r>
              <w:rPr>
                <w:rFonts w:ascii="Aptos" w:hAnsi="Aptos"/>
                <w:b/>
                <w:color w:val="FFFFFF"/>
                <w:sz w:val="18"/>
              </w:rPr>
              <w:t>Stage</w:t>
            </w:r>
          </w:p>
        </w:tc>
        <w:tc>
          <w:tcPr>
            <w:tcW w:type="dxa" w:w="9792"/>
            <w:shd w:fill="0F172A"/>
            <w:tcBorders>
              <w:top w:val="single" w:sz="8" w:space="0" w:color="0F172A"/>
              <w:left w:val="single" w:sz="8" w:space="0" w:color="0F172A"/>
              <w:bottom w:val="single" w:sz="8" w:space="0" w:color="0F172A"/>
              <w:right w:val="single" w:sz="8" w:space="0" w:color="0F172A"/>
            </w:tcBorders>
            <w:tcMar>
              <w:top w:w="120" w:type="dxa"/>
              <w:start w:w="130" w:type="dxa"/>
              <w:bottom w:w="120" w:type="dxa"/>
              <w:end w:w="130" w:type="dxa"/>
            </w:tcMar>
          </w:tcPr>
          <w:p>
            <w:r>
              <w:rPr>
                <w:rFonts w:ascii="Aptos" w:hAnsi="Aptos"/>
                <w:b/>
                <w:color w:val="FFFFFF"/>
                <w:sz w:val="18"/>
              </w:rPr>
              <w:t>What happens in practice</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Goal</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You want to explain not just the FYP result, but how you used Codex as a research partner.</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Task packet</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Use python fyp_cli.py agent-start --task codex-meetup-prep --agent fyp-meetup-story.</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Story spine</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The fyp-meetup-story agent turns repo mechanisms into a human explanation: repo memory, task packets, subagents, hooks, checks, immutable evidence, and handoff recovery.</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USP</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The strongest line: 'Memory is not magic; make the repo remember.'</w:t>
            </w:r>
          </w:p>
        </w:tc>
      </w:tr>
      <w:tr>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8FAFC"/>
          </w:tcPr>
          <w:p>
            <w:r>
              <w:rPr>
                <w:rFonts w:ascii="Aptos" w:hAnsi="Aptos"/>
                <w:b/>
                <w:color w:val="0F172A"/>
                <w:sz w:val="16"/>
              </w:rPr>
              <w:t>Demo</w:t>
            </w:r>
          </w:p>
        </w:tc>
        <w:tc>
          <w:tcPr>
            <w:tcW w:type="dxa" w:w="7128"/>
            <w:tcBorders>
              <w:top w:val="single" w:sz="8" w:space="0" w:color="CBD5E1"/>
              <w:left w:val="single" w:sz="8" w:space="0" w:color="CBD5E1"/>
              <w:bottom w:val="single" w:sz="8" w:space="0" w:color="CBD5E1"/>
              <w:right w:val="single" w:sz="8" w:space="0" w:color="CBD5E1"/>
            </w:tcBorders>
            <w:tcMar>
              <w:top w:w="110" w:type="dxa"/>
              <w:start w:w="130" w:type="dxa"/>
              <w:bottom w:w="110" w:type="dxa"/>
              <w:end w:w="130" w:type="dxa"/>
            </w:tcMar>
            <w:vAlign w:val="top"/>
            <w:shd w:fill="FFFFFF"/>
          </w:tcPr>
          <w:p>
            <w:r>
              <w:rPr>
                <w:rFonts w:ascii="Aptos" w:hAnsi="Aptos"/>
                <w:b w:val="0"/>
                <w:color w:val="334155"/>
                <w:sz w:val="16"/>
              </w:rPr>
              <w:t>Show Figure 1, then run agent-status and agent-start. Finish by showing make agent-check as the evidence-producing gate.</w:t>
            </w:r>
          </w:p>
        </w:tc>
      </w:tr>
    </w:tbl>
    <w:p>
      <w:pPr>
        <w:spacing w:after="80"/>
      </w:pPr>
    </w:p>
    <w:p>
      <w:r>
        <w:br w:type="page"/>
      </w:r>
    </w:p>
    <w:p>
      <w:pPr>
        <w:spacing w:before="200" w:after="80"/>
      </w:pPr>
      <w:r>
        <w:rPr>
          <w:rFonts w:ascii="Aptos" w:hAnsi="Aptos"/>
          <w:b/>
          <w:color w:val="0F172A"/>
          <w:sz w:val="36"/>
        </w:rPr>
        <w:t>Presentation script</w:t>
      </w:r>
    </w:p>
    <w:tbl>
      <w:tblPr>
        <w:tblW w:type="auto" w:w="0"/>
        <w:jc w:val="center"/>
        <w:tblLayout w:type="fixed"/>
        <w:tblLook w:firstColumn="1" w:firstRow="1" w:lastColumn="0" w:lastRow="0" w:noHBand="0" w:noVBand="1" w:val="04A0"/>
      </w:tblPr>
      <w:tblGrid>
        <w:gridCol w:w="7128"/>
        <w:gridCol w:w="7128"/>
      </w:tblGrid>
      <w:tr>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0F172A"/>
          </w:tcPr>
          <w:p>
            <w:pPr>
              <w:jc w:val="center"/>
            </w:pPr>
            <w:r>
              <w:rPr>
                <w:rFonts w:ascii="Aptos" w:hAnsi="Aptos"/>
                <w:b/>
                <w:color w:val="FFFFFF"/>
                <w:sz w:val="24"/>
              </w:rPr>
              <w:t>1</w:t>
            </w:r>
          </w:p>
        </w:tc>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FFFFFF"/>
          </w:tcPr>
          <w:p>
            <w:r>
              <w:rPr>
                <w:rFonts w:ascii="Aptos" w:hAnsi="Aptos"/>
                <w:b w:val="0"/>
                <w:color w:val="334155"/>
                <w:sz w:val="18"/>
              </w:rPr>
              <w:t>Start with the pain: long research projects outlive a single chat window, so chat memory alone is not reliable enough.</w:t>
            </w:r>
          </w:p>
        </w:tc>
      </w:tr>
      <w:tr>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0F172A"/>
          </w:tcPr>
          <w:p>
            <w:pPr>
              <w:jc w:val="center"/>
            </w:pPr>
            <w:r>
              <w:rPr>
                <w:rFonts w:ascii="Aptos" w:hAnsi="Aptos"/>
                <w:b/>
                <w:color w:val="FFFFFF"/>
                <w:sz w:val="24"/>
              </w:rPr>
              <w:t>2</w:t>
            </w:r>
          </w:p>
        </w:tc>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FFFFFF"/>
          </w:tcPr>
          <w:p>
            <w:r>
              <w:rPr>
                <w:rFonts w:ascii="Aptos" w:hAnsi="Aptos"/>
                <w:b w:val="0"/>
                <w:color w:val="334155"/>
                <w:sz w:val="18"/>
              </w:rPr>
              <w:t>Show the folder hierarchy: the repo contains both the benchmark framework and an agent operating layer.</w:t>
            </w:r>
          </w:p>
        </w:tc>
      </w:tr>
      <w:tr>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0F172A"/>
          </w:tcPr>
          <w:p>
            <w:pPr>
              <w:jc w:val="center"/>
            </w:pPr>
            <w:r>
              <w:rPr>
                <w:rFonts w:ascii="Aptos" w:hAnsi="Aptos"/>
                <w:b/>
                <w:color w:val="FFFFFF"/>
                <w:sz w:val="24"/>
              </w:rPr>
              <w:t>3</w:t>
            </w:r>
          </w:p>
        </w:tc>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FFFFFF"/>
          </w:tcPr>
          <w:p>
            <w:r>
              <w:rPr>
                <w:rFonts w:ascii="Aptos" w:hAnsi="Aptos"/>
                <w:b w:val="0"/>
                <w:color w:val="334155"/>
                <w:sz w:val="18"/>
              </w:rPr>
              <w:t>Explain the control plane: AGENTS.md gives law, PROJECT_LOG gives truth, agent-start gives task scope, subagents isolate audits, and make agent-check proves the state.</w:t>
            </w:r>
          </w:p>
        </w:tc>
      </w:tr>
      <w:tr>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0F172A"/>
          </w:tcPr>
          <w:p>
            <w:pPr>
              <w:jc w:val="center"/>
            </w:pPr>
            <w:r>
              <w:rPr>
                <w:rFonts w:ascii="Aptos" w:hAnsi="Aptos"/>
                <w:b/>
                <w:color w:val="FFFFFF"/>
                <w:sz w:val="24"/>
              </w:rPr>
              <w:t>4</w:t>
            </w:r>
          </w:p>
        </w:tc>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FFFFFF"/>
          </w:tcPr>
          <w:p>
            <w:r>
              <w:rPr>
                <w:rFonts w:ascii="Aptos" w:hAnsi="Aptos"/>
                <w:b w:val="0"/>
                <w:color w:val="334155"/>
                <w:sz w:val="18"/>
              </w:rPr>
              <w:t>Show the evidence contract: raw model outputs are immutable; scoring corrections become sidecars; report text is regenerated from source.</w:t>
            </w:r>
          </w:p>
        </w:tc>
      </w:tr>
      <w:tr>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0F172A"/>
          </w:tcPr>
          <w:p>
            <w:pPr>
              <w:jc w:val="center"/>
            </w:pPr>
            <w:r>
              <w:rPr>
                <w:rFonts w:ascii="Aptos" w:hAnsi="Aptos"/>
                <w:b/>
                <w:color w:val="FFFFFF"/>
                <w:sz w:val="24"/>
              </w:rPr>
              <w:t>5</w:t>
            </w:r>
          </w:p>
        </w:tc>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FFFFFF"/>
          </w:tcPr>
          <w:p>
            <w:r>
              <w:rPr>
                <w:rFonts w:ascii="Aptos" w:hAnsi="Aptos"/>
                <w:b w:val="0"/>
                <w:color w:val="334155"/>
                <w:sz w:val="18"/>
              </w:rPr>
              <w:t>Give the scoring-correction example: the model outputs were still valid, but the scoring layer was wrong, so the harness preserved raw evidence while deriving new scores.</w:t>
            </w:r>
          </w:p>
        </w:tc>
      </w:tr>
      <w:tr>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0F172A"/>
          </w:tcPr>
          <w:p>
            <w:pPr>
              <w:jc w:val="center"/>
            </w:pPr>
            <w:r>
              <w:rPr>
                <w:rFonts w:ascii="Aptos" w:hAnsi="Aptos"/>
                <w:b/>
                <w:color w:val="FFFFFF"/>
                <w:sz w:val="24"/>
              </w:rPr>
              <w:t>6</w:t>
            </w:r>
          </w:p>
        </w:tc>
        <w:tc>
          <w:tcPr>
            <w:tcW w:type="dxa" w:w="7128"/>
            <w:tcBorders>
              <w:top w:val="single" w:sz="8" w:space="0" w:color="CBD5E1"/>
              <w:left w:val="single" w:sz="8" w:space="0" w:color="CBD5E1"/>
              <w:bottom w:val="single" w:sz="8" w:space="0" w:color="CBD5E1"/>
              <w:right w:val="single" w:sz="8" w:space="0" w:color="CBD5E1"/>
            </w:tcBorders>
            <w:tcMar>
              <w:top w:w="100" w:type="dxa"/>
              <w:start w:w="130" w:type="dxa"/>
              <w:bottom w:w="100" w:type="dxa"/>
              <w:end w:w="130" w:type="dxa"/>
            </w:tcMar>
            <w:vAlign w:val="center"/>
            <w:shd w:fill="FFFFFF"/>
          </w:tcPr>
          <w:p>
            <w:r>
              <w:rPr>
                <w:rFonts w:ascii="Aptos" w:hAnsi="Aptos"/>
                <w:b w:val="0"/>
                <w:color w:val="334155"/>
                <w:sz w:val="18"/>
              </w:rPr>
              <w:t>Close with the USP: I use Codex less like autocomplete and more like a repo-native research operating system.</w:t>
            </w:r>
          </w:p>
        </w:tc>
      </w:tr>
    </w:tbl>
    <w:p>
      <w:pPr>
        <w:spacing w:after="80"/>
      </w:pPr>
    </w:p>
    <w:p>
      <w:pPr>
        <w:spacing w:before="200" w:after="80"/>
      </w:pPr>
      <w:r>
        <w:rPr>
          <w:rFonts w:ascii="Aptos" w:hAnsi="Aptos"/>
          <w:b/>
          <w:color w:val="0F172A"/>
          <w:sz w:val="36"/>
        </w:rPr>
        <w:t>What to say when someone asks 'why not just prompt better?'</w:t>
      </w:r>
    </w:p>
    <w:tbl>
      <w:tblPr>
        <w:tblW w:type="auto" w:w="0"/>
        <w:jc w:val="center"/>
        <w:tblLayout w:type="fixed"/>
        <w:tblLook w:firstColumn="1" w:firstRow="1" w:lastColumn="0" w:lastRow="0" w:noHBand="0" w:noVBand="1" w:val="04A0"/>
      </w:tblPr>
      <w:tblGrid>
        <w:gridCol w:w="14256"/>
      </w:tblGrid>
      <w:tr>
        <w:tc>
          <w:tcPr>
            <w:tcW w:type="dxa" w:w="12960"/>
            <w:shd w:fill="FFF0F3"/>
            <w:tcBorders>
              <w:top w:val="single" w:sz="10" w:space="0" w:color="C85C74"/>
              <w:left w:val="single" w:sz="10" w:space="0" w:color="C85C74"/>
              <w:bottom w:val="single" w:sz="10" w:space="0" w:color="C85C74"/>
              <w:right w:val="single" w:sz="10" w:space="0" w:color="C85C74"/>
            </w:tcBorders>
            <w:tcMar>
              <w:top w:w="130" w:type="dxa"/>
              <w:start w:w="170" w:type="dxa"/>
              <w:bottom w:w="130" w:type="dxa"/>
              <w:end w:w="170" w:type="dxa"/>
            </w:tcMar>
            <w:vAlign w:val="center"/>
          </w:tcPr>
          <w:p>
            <w:pPr>
              <w:spacing w:after="40"/>
            </w:pPr>
            <w:r>
              <w:rPr>
                <w:rFonts w:ascii="Aptos" w:hAnsi="Aptos"/>
                <w:b/>
                <w:color w:val="0F172A"/>
                <w:sz w:val="20"/>
              </w:rPr>
              <w:t>Answer</w:t>
            </w:r>
          </w:p>
          <w:p>
            <w:pPr>
              <w:spacing w:after="0"/>
            </w:pPr>
            <w:r>
              <w:rPr>
                <w:rFonts w:ascii="Aptos" w:hAnsi="Aptos"/>
                <w:b w:val="0"/>
                <w:color w:val="334155"/>
                <w:sz w:val="18"/>
              </w:rPr>
              <w:t>Prompting tells the agent what to do once. A harness makes the repo keep enforcing the important rules: where truth lives, what must not be changed, which context to load, which checks prove completion, and how the next session resumes.</w:t>
            </w:r>
          </w:p>
        </w:tc>
      </w:tr>
    </w:tbl>
    <w:p>
      <w:pPr>
        <w:spacing w:after="40"/>
      </w:pPr>
    </w:p>
    <w:p>
      <w:r>
        <w:br w:type="page"/>
      </w:r>
    </w:p>
    <w:p>
      <w:pPr>
        <w:spacing w:before="200" w:after="80"/>
      </w:pPr>
      <w:r>
        <w:rPr>
          <w:rFonts w:ascii="Aptos" w:hAnsi="Aptos"/>
          <w:b/>
          <w:color w:val="0F172A"/>
          <w:sz w:val="36"/>
        </w:rPr>
        <w:t>Practical commands to remember</w:t>
      </w:r>
    </w:p>
    <w:p>
      <w:pPr>
        <w:pStyle w:val="ListBullet"/>
        <w:spacing w:after="40"/>
        <w:ind w:left="360" w:hanging="173"/>
      </w:pPr>
      <w:r>
        <w:rPr>
          <w:rFonts w:ascii="Aptos" w:hAnsi="Aptos"/>
          <w:b w:val="0"/>
          <w:color w:val="334155"/>
          <w:sz w:val="18"/>
        </w:rPr>
        <w:t>Fresh session: python fyp_cli.py agent-status</w:t>
      </w:r>
    </w:p>
    <w:p>
      <w:pPr>
        <w:pStyle w:val="ListBullet"/>
        <w:spacing w:after="40"/>
        <w:ind w:left="360" w:hanging="173"/>
      </w:pPr>
      <w:r>
        <w:rPr>
          <w:rFonts w:ascii="Aptos" w:hAnsi="Aptos"/>
          <w:b w:val="0"/>
          <w:color w:val="334155"/>
          <w:sz w:val="18"/>
        </w:rPr>
        <w:t>Task-specific startup: python fyp_cli.py agent-start --task T21 --agent fyp-report-auditor</w:t>
      </w:r>
    </w:p>
    <w:p>
      <w:pPr>
        <w:pStyle w:val="ListBullet"/>
        <w:spacing w:after="40"/>
        <w:ind w:left="360" w:hanging="173"/>
      </w:pPr>
      <w:r>
        <w:rPr>
          <w:rFonts w:ascii="Aptos" w:hAnsi="Aptos"/>
          <w:b w:val="0"/>
          <w:color w:val="334155"/>
          <w:sz w:val="18"/>
        </w:rPr>
        <w:t>Regenerate visual pack: make architecture-diagram</w:t>
      </w:r>
    </w:p>
    <w:p>
      <w:pPr>
        <w:pStyle w:val="ListBullet"/>
        <w:spacing w:after="40"/>
        <w:ind w:left="360" w:hanging="173"/>
      </w:pPr>
      <w:r>
        <w:rPr>
          <w:rFonts w:ascii="Aptos" w:hAnsi="Aptos"/>
          <w:b w:val="0"/>
          <w:color w:val="334155"/>
          <w:sz w:val="18"/>
        </w:rPr>
        <w:t>Refresh handoff/dashboard: make agent-handoff &amp;&amp; make agent-dashboard &amp;&amp; make agent-tc1-checklist</w:t>
      </w:r>
    </w:p>
    <w:p>
      <w:pPr>
        <w:pStyle w:val="ListBullet"/>
        <w:spacing w:after="40"/>
        <w:ind w:left="360" w:hanging="173"/>
      </w:pPr>
      <w:r>
        <w:rPr>
          <w:rFonts w:ascii="Aptos" w:hAnsi="Aptos"/>
          <w:b w:val="0"/>
          <w:color w:val="334155"/>
          <w:sz w:val="18"/>
        </w:rPr>
        <w:t>Final finish gate: make agent-check</w:t>
      </w:r>
    </w:p>
    <w:p>
      <w:pPr>
        <w:spacing w:before="200" w:after="80"/>
      </w:pPr>
      <w:r>
        <w:rPr>
          <w:rFonts w:ascii="Aptos" w:hAnsi="Aptos"/>
          <w:b/>
          <w:color w:val="0F172A"/>
          <w:sz w:val="36"/>
        </w:rPr>
        <w:t>The one-minute story</w:t>
      </w:r>
    </w:p>
    <w:p>
      <w:pPr>
        <w:spacing w:after="80" w:line="259" w:lineRule="auto"/>
      </w:pPr>
      <w:r>
        <w:rPr>
          <w:rFonts w:ascii="Aptos" w:hAnsi="Aptos"/>
          <w:b w:val="0"/>
          <w:color w:val="334155"/>
          <w:sz w:val="20"/>
        </w:rPr>
        <w:t>In my FYP, Codex is not just writing code. I turned the repo into an agent harness. The repo tells Codex what the current truth is, gives it bounded task packets, lets it call specialist subagents for audits, protects raw experiment evidence, and forces a finish gate before I trust the result. This matters because my project had a real scoring correction: the model outputs stayed valid, but the scoring layer changed. Because the harness preserved raw outputs and wrote sidecars, the research story stayed auditable instead of becoming a chat-memory mess.</w:t>
      </w:r>
    </w:p>
    <w:sectPr w:rsidR="00FC693F" w:rsidRPr="0006063C" w:rsidSect="00034616">
      <w:footerReference w:type="default" r:id="rId10"/>
      <w:pgSz w:w="15840" w:h="12240" w:orient="landscape"/>
      <w:pgMar w:top="648" w:right="792" w:bottom="648" w:left="79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748B"/>
        <w:sz w:val="16"/>
      </w:rPr>
      <w:t>fyp_quant agent harness architecture guide - generated from repo state on 2026-06-09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