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strictly contains the classifier's),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and a power analysis converge independently on the same capability-driven reading.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DecodingTrust [2], and SafetyBench [3]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and AdvBench provide curated unsafe prompts and measure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[18]. Safety-specific studies make the point directly. Kharinaev et al. [14] evaluate 66 quantized variants across multiple post-training and quantization-aware methods and find that quantization can degrade safety alignment, with no single method dominating across models and bit-widths. Egashira et al. [16] show that widely used BitsAndBytes schemes, including NF4, can be manipulated so that a benign full-precision model becomes harmful once quantized. HarmLevelBench [17]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and Phi-4-mini-instruct)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[24]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two over-refusal decreases, Qwen3-1.7B (−0.028) and Phi-4-mini (−0.044).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Four of the five XSTest over-refusal deltas are non-significant or negative, and the two significant ones are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at the 512-token reference budget, the deltas whose bootstrap CI excludes zero (★) are Llama-3.2-3B ΔASR (−0.040, a decrease; McNemar p = 0.021 — the only significant ΔASR, and no pair shows a significant increase), Qwen3-1.7B ΔMMLU (−0.090), and the two over-refusal decreases Qwen3-1.7B (−0.028) and Phi-4-mini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deltas are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[23]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significantly (0.056 → 0.028, ΔOR = −0.028, significant).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the model publisher's recommended non-thinking setting (temperature 0.7, top-p 0.8)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(1/5 seeds significant, a directional non-null), and Llama has mean −0.024 with no positive seed (0/5), matching its significant safety-improving primary decrease. Across all three pairs no pair is robustly positive. Results are written to results_512/analysis/sensitivity_multiseed.json;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two over-refusal decreases, Qwen 1.7B (−0.028) and Phi-4-mini (−0.044).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three show no significant change in over-refusal and two move in the benign direction. Under the v2 scorer: Qwen3-1.7B ΔOR = −0.028 (0.056 → 0.028, significant), Qwen3-4B 0.000 (0.032 → 0.032, not significant), Llama 3B +0.016 (0.036 → 0.052, not significant), Mistral-7B +0.004 (0.004 → 0.008, not significant), and Phi-4-mini −0.044 (0.128 → 0.084, significant). The two significant over-refusal deltas (Qwen 1.7B and Phi)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two significant moves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two significant deltas are decreases).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significant)), and the two significant moves, Qwen3-1.7B (−0.028) and Phi-4-mini (−0.044),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two significant moves are reductions in false refusals (Qwen 1.7B and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[20], [21]. Two further residual caveats: the second judge is a versioned API model (less reproducible than the open-weight primary), and both judges share the broad lineage of LLM-based harm classification, so a fully independent open-weight guard (e.g. Llama Guard [22])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[18],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truncation-budget artefact of the same kind that inflated the Qwen-1.7B NF4 move (§6.16),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 artefact of that pair's truncated generations rather than a method-specific "INT8 erodes safety" effect.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here depending on model size, family, and harm category,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and Egashira et al.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[19])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arXiv:2411.06835, 2024.</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(53 checks);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2026-07-03T02:44:18.585Z</dcterms:created>
  <dcterms:modified xsi:type="dcterms:W3CDTF">2026-07-03T02:44:18.586Z</dcterms:modified>
</cp:coreProperties>
</file>

<file path=docProps/custom.xml><?xml version="1.0" encoding="utf-8"?>
<Properties xmlns="http://schemas.openxmlformats.org/officeDocument/2006/custom-properties" xmlns:vt="http://schemas.openxmlformats.org/officeDocument/2006/docPropsVTypes"/>
</file>