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[7]);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(a primary classifier, a second independent judge, κ reporting, and bootstrap confidence intervals)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[7].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[7].</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[7]. An initial 128-token run is retained, unchanged, as a controlled generation-length comparison (§6.3). Deltas carry paired-bootstrap 95% confidence intervals [20] (2,000 resamples, seed 42), resampled by prompt identity so that both members of a pair see the same prompts in the same order. Every HarmBench contrast is tested with McNemar’s exact paired test [19];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[7];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truncation-era artefact,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The residual construct threat is that both judges are themselves LLMs without independent human-label validation; this is disclosed and flagged for future work (a stratified human-labelled annotation sheet is prepared).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[5], [6].</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 (an annotation sheet for a human gold set is prepared but not yet labelled).</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(Qwen3-1.7B NF4 +0.055; Llama-3B INT8 +0.040) are truncation artefacts retained only as the generation-length comparison.</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(a stratified human-labelled subset reporting classifier-vs-human and regex-vs-human agreement; the annotation sheet is prepared) and an open-weight guard model (e.g. Llama Guard [21])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[5]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2017.</w:t>
      </w:r>
    </w:p>
    <w:p>
      <w:pPr>
        <w:spacing w:after="90" w:line="264"/>
        <w:ind w:left="400" w:hanging="400"/>
      </w:pPr>
      <w:r>
        <w:rPr>
          <w:rFonts w:ascii="Times New Roman" w:cs="Times New Roman" w:eastAsia="Times New Roman" w:hAnsi="Times New Roman"/>
          <w:sz w:val="22"/>
          <w:szCs w:val="22"/>
        </w:rPr>
        <w:t xml:space="preserve">[19]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[20]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[16], [17]) and is packaged for reuse in line with open-source-software peer-review norms [18].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2026-07-03T02:43:23.064Z</dcterms:created>
  <dcterms:modified xsi:type="dcterms:W3CDTF">2026-07-03T02:43:23.065Z</dcterms:modified>
</cp:coreProperties>
</file>

<file path=docProps/custom.xml><?xml version="1.0" encoding="utf-8"?>
<Properties xmlns="http://schemas.openxmlformats.org/officeDocument/2006/custom-properties" xmlns:vt="http://schemas.openxmlformats.org/officeDocument/2006/docPropsVTypes"/>
</file>