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(§6.7).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 human-labelled refusal gold set remains the residual strengthening (results_512/analysis/xstest_judge_agreement.json).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is complete, and the supporting framework, automated verification suite, and artifact-derived claim registry are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2026-07-16T09:25:54.859Z</dcterms:created>
  <dcterms:modified xsi:type="dcterms:W3CDTF">2026-07-16T09:25:54.859Z</dcterms:modified>
</cp:coreProperties>
</file>

<file path=docProps/custom.xml><?xml version="1.0" encoding="utf-8"?>
<Properties xmlns="http://schemas.openxmlformats.org/officeDocument/2006/custom-properties" xmlns:vt="http://schemas.openxmlformats.org/officeDocument/2006/docPropsVTypes"/>
</file>