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in this revision's committed artifact; the same arm has since been extended to them and will be folded into a subsequent revision after verification.</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The same symmetric arm has since been extended to the two remaining pairs (Mistral, Phi); those results are being verified and will be folded into a subsequent revision, so this revision reports the three verified pairs.</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twice: by an independent frontier-model second judge (gpt-4o, §6.12 Result 4) and against human labels on a stratified subset (§6.12 Result 5). One optional extension is still carried in Chapter 9: an open-weight guard model (LlamaGuard) whose cross-check would be fully reproducible, unlike the versioned API judge.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2026-07-16T09:25:52.816Z</dcterms:created>
  <dcterms:modified xsi:type="dcterms:W3CDTF">2026-07-16T09:25:52.816Z</dcterms:modified>
</cp:coreProperties>
</file>

<file path=docProps/custom.xml><?xml version="1.0" encoding="utf-8"?>
<Properties xmlns="http://schemas.openxmlformats.org/officeDocument/2006/custom-properties" xmlns:vt="http://schemas.openxmlformats.org/officeDocument/2006/docPropsVTypes"/>
</file>