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Comprehensive Project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 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Comprehensive project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This is the full technical write-up; two companion documents present the same study at other lengths, a shorter Interim Report (milestone deliverable, docs/FYP_Interim) and a condensed, IEEE-cited standalone Thesis (docs/FYP_Thesis).</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 to 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very nearly contains the classifier's, the disagreement is one-directional over-counting), so both which model looks least safe and whether any model looks significantly less safe at all depend on the scorer. Replacing the regex with HarmBench's own fine-tuned classifier, cross-checked by a second, architecturally independent judge at Cohen's κ 0.68 to 0.95,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no evaluated pair shows a significant harmful-compliance change under four-bit NF4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independently supports the same capability-driven reading, and a power analysis bounds how large any undetected safety effect could be (minimum detectable ΔASR ≈ 0.06 at n = 200). An fp16 → INT8 → NF4 sweep shows the effect is not bit-width-graded, capability loss is a clean cliff at four-bit, and the one INT8-specific safety increase seen on Llama-3B at 128 tokens under both judges likewise vanishes at 512 under both judges. The contributions are a reproducible, capability-anchored, judge-validated and human-grounded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can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across other model families (Llama, Mistral, Phi) and across quantization precisions (INT8, NF4)?</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The primary matched pairs sit in the roughly two-to-four-billion-parameter range, and the cross-family robustness extension (§6.13) reaches 7.2 billion parameters (Mistral-7B), so the study spans approximately 1.7 to 7.2 billion parameters.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 to 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no pair shows a significant harmful-compliance change under four-bit NF4 after a multiplicity correction, the multiplicity-robust signal is capability loss rather than safety change,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 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Eight appendices reproduce the full configuration, an example SLURM script, the configuration schema, the test inventory, the repository layout, and a glossary, and record the document revision history and the scoring-methodology correction record.</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influenced what counts as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 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Closest to this study's headline, Hong et al. [16] scrutinise trustworthiness across five compression methods and eight trust dimensions and find that 4-bit quantization broadly preserves trustworthiness (unlike pruning, which degrades it, and unlike the more extreme 3-bit setting, where erosion appears); this is the nearest prior analogue to the null-safety-at-four-bit picture found here, though their study covers larger models and a different trust taxonomy.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 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(extended by the Mistral-7B and Phi-4-mini cross-family pairs, §6.13);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(1.7 billion versus four billion parameters within the Qwen family), and model family (Qwen versus Llama in the primary design, extended to Mistral and Phi in the cross-family replication of §6.13).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form the primary controlled design. The Qwen pairs at 1.7 billion and four billion parameters [17] are the primary within-family comparison and provide both a quantization axis and a scale axis. The Llama 3.2 3B pair [18] sits between them by parameter count and is a cross-family robustness check. Table 3.1 summarises this primary matrix; a cross-family extension later adds two further matched pairs (Mistral-7B and Phi-4-mini, introduced with the experimental setup in Chapter 5 and analysed in §6.13), taking the study to five pairs across four families.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the weakest threat model in the HarmBench taxonomy, equivalent to its DirectRequest baseline,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six subjects are pooled and a deterministic, seed-controlled random sample of 300 questions is drawn from the pool, so the per-subject counts are not equal, they range from 25 to 94 questions (the exact per-subject distribution is reported with the statistical limitations in Chapter 8). Because the sample is fixed by seed and prompt identity, every baseline and 4-bit run sees the same 300 questions in the same order, so this uneven distribution is held constant across all conditions and does not affect the matched-pair comparison.</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rather than avoided: it is run at full precision, with greedy decoding, over the immutable saved generations, and writes only redacted sidecars.</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whose own protocol relies on LLM-based three-way labelling (full compliance / partial refusal / full refusal) rather than a released fine-tuned classifier, this study instead keeps deterministic regex parsing, a deliberate, reproducibility-motivated deviation that yields a coarser binary (refusal / non-refusal) construct;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[19]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[20]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 The same exact paired test is applied to every other paired-binary endpoint, XSTest over-refusal, MMLU, and ARC, in the multiple-comparisons analysis (results_512/analysis/multiple_comparisons.json; §6.5.1), and where the bootstrap CI and the exact test disagree at the margin, the exact test is taken as the significance criterion and such a delta would be reported as borderline. At the corrected over-refusal scoring no contrast in the study now sits in that margin: the previously borderline Qwen3-1.7B over-refusal decrease resolves to non-significant on both criteria (−0.024; bootstrap CI [−0.048, 0.000] now touches zero and McNemar's exact p = 0.109 on 11 discordant prompts).</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core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tightly constrained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(forty scripts for the ten-model,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Ten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339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 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 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so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the model repositories. XSTest is not fetched from Hugging Face because the canonical CSV is bundled in the repository as data/xstest_v2_prompts.csv. The initial TC1 pre-cache completed successfully on 2026-05-27 at 15:37 UTC+8, caching the original three model repositories in ~/.cache/huggingface/hub: Qwen3-1.7B (4.08 GB), Qwen3-4B (8.06 GB), and Llama 3.2 3B (12.9 GB), plus small dataset files. When the study was extended to five pairs (§5.6), a second pre-cache on 2026-06-15 added the two cross-family repositories, Mistral-7B-Instruct-v0.3 and Phi-4-mini-instruct; Mistral-7B is HF-gated, so its access conditions were accepted and the head-node HF token login re-run before prefetching. The downloads themselves are pure HTTP file transfers with negligible CPU and memory cost, and are therefore consistent with the head-node activities explicitly demonstrated in the TC1 user guide (page 7 to 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one sbatch file per model alias, six for the original three pairs, extended to ten when the cross-family pairs were added.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original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The cross-family extension (run on TC1 on 2026-06-15; results in §6.13) added four more matrix scripts of the same form, mistral_7b_{base,4bit}__matrix.sbatch and phi4_mini_{base,4bit}__matrix.sbatch, submitted pair-by-pair under the same scheduling discipline, each preceded by a five-sample smoke job to confirm the model loads with its native chat template (and, for Phi-4-mini, the eager attention backend). Their HarmBench generations were judge-scored by a dedicated sbatch (slurm/judge_validation_newpairs.sbatch) that scores only the new aliases, so the committed judge sidecars of the original six models were never reopened. The primary 512-token study (§6.16, D41) then re-ran the entire ten-model matrix at max_new_tokens = 512 via configs/tc1_512.yaml into the parallel results_512/ tree, judge-scored by slurm/judge_validation_512.sbatch (job 61524).</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the five model repositories are pinned by Hugging Face commit hash, the revision field on every model entry in configs/tc1.yaml and configs/tc1_512.yaml, set to the exact snapshots used on TC1, so an online re-execution loads byte-identical weights rather than whatever revision happens to be current at fetch time; and every reported number can be replayed from the committed analysis artifacts and redacted score sidecars. The raw per-prompt records themselves are local-only evidence, gitignored and hash-pinned in results/raw_artifact_manifest.sha256,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 to 60981). Three matched pairs were evaluated: Qwen3-1.7B (jobs 60976/60977), Qwen3-4B (jobs 60978/60979), and Llama 3.2 3B-Instruct (jobs 60980/60981). A cross-family extension subsequently added two further matched pairs (Mistral-7B-Instruct-v0.3 [21] and Phi-4-mini-instruct [22]) run on the same cluster on 2026-06-15 (matrix jobs 61121/61122/61123/61125; HarmBench classifier job 61134), taking the study to five pairs / ten models / four families; their results are folded into Tables 6.1 to 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[19] over the matched prompt set (2 000 resamples, seed 42); both members of every pair see the same prompts in the same order, so each bootstrap draw resamples prompt indices and recomputes the delta directly. A delta is marked statistically significant when its 95% CI excludes zero AND McNemar's exact paired test (§3.7) agrees at p &lt; 0.05; at the corrected over-refusal scoring no contrast has the two criteria disagreeing, the previously borderline Qwen3-1.7B over-refusal decrease is now non-significant on both, CI [−0.048, 0.000] and McNemar p = 0.109 on 11 discordant prompts.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 [−0.048,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[−0.020, +0.008]</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[−0.004,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 [+0.015, +0.105]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[−0.076,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the CI excludes zero and McNemar's exact paired test agrees (p &lt; 0.05); at the corrected over-refusal scoring no contrast sits in the borderline margin where the CI excludes zero but the exact test does not (Qwen3-1.7B's over-refusal decrease is now non-significant on both, McNemar p = 0.109).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a decrease, not an increase. The statistically significant deltas across Table 6.1 are therefore all capability or over-refusal effects: Qwen3-1.7B ΔMMLU (−0.090), the Llama-3.2-3B ΔASR decrease (−0.040), and one over-refusal decrease, Phi-4-mini (−0.048); Qwen3-1.7B's over-refusal decrease (−0.024) is non-significant (its bootstrap CI [−0.048, 0.000] now touches zero and McNemar's exact test gives p = 0.109; §3.7). The ARC capability axis (§6.4.1) adds significant losses on Qwen3-4B (−0.016) and Llama-3.2-3B (−0.032). Not one of the five pairs shows a significant harmful-compliance increase under NF4. The picture is sharper still after multiplicity correction (§6.5): under a Benjamini, Hochberg control over the family of primary contrasts, no HarmBench ASR contrast survives at all, and the three surviving effects are all capability or over-refusal changes. Every XSTest over-refusal delta is non-significant or points downward, the one significant delta (Phi, −0.048) is a decrease and no delta is borderline,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−0.024</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−0.048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significant under both criteria (paired-bootstrap 95% CI excludes zero and McNemar's exact p &lt; 0.05); at the corrected over-refusal scoring Qwen3-1.7B's Δover-refusal is non-significant on both criteria (McNemar p = 0.109; §3.7) and no delta is borderline. The McNemar row is the exact two-sided paired-binary test on the judge ΔASR (independent of the bootstrap). Under the judge at the 512-token reference budget, the ★ deltas are Llama-3.2-3B ΔASR (−0.040, a decrease; McNemar p = 0.021, the only significant ΔASR, and no pair shows a significant increase), Qwen3-1.7B ΔMMLU (−0.090), and Phi-4-mini's over-refusal decrease (−0.048).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shows a large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on this benchmark, scale is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0.052 to 0.028,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 (Phi, −0.048) is a decrease and Qwen3-1.7B's decrease is now non-significant (McNemar p = 0.109); no delta is borderline.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Over-refusal regression: HarmBench ASR and MMLU are held within tolerance, but the model refuses materially more benign prompts (ΔOR beyond threshold); a benign-refusal regression named on its own over-refusal axis rather than folded into broad degradation (Table 3.4, §3.8).</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[−0.140, −0.043],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Mistral and Phi show directionally consistent but individually non-significant capability changes. The capability cost is therefore robust in aggregate (it supplies two of the three FDR survivors, Qwen 1.7B MMLU and Llama ARC; the third is Phi's over-refusal decrease,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the artifact records evidence_status = directional and that is the claim carried here), Qwen 4B is directional, and the cross-family pairs (§6.13) are directional (Mistral) and null (Phi). Third, the MMLU subset comprises 300 questions pooled across six subjects; subject counts are uneven (25 to 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A further MMLU-specific construct caveat concerns answer parsing: the option-letter parser falls back to a lenient "first in-range capital letter anywhere" scan when a response neither leads with the option letter nor states an explicit "answer is X", and this fallback fires far more often on the degraded 4-bit outputs; for qwen_2b_4bit 48.7% of items are scored by the fallback versus 3.3% for its fp16 twin, and the fallback's own accuracy on that pair (46%) is well below the leading-letter rule's (75%). Part of the −0.090 MMLU gap for that pair therefore reflects a shift in answer format that the lenient parser scores less reliably, not only a loss of underlying knowledge; ARC-Challenge, scored by an identical protocol for both pair members and not subject to this format asymmetry, moves in the same (negative) direction (−0.009, not significant), corroborating the direction of the capability loss while indicating that its MMLU magnitude is partly parser-inflated.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this includes the single over-refusal contrast that survives the multiplicity correction (Phi-4-mini's −0.048 decrease, §6.5.1), which therefore inherits the same weaker-construct status as the regex and should be read as a reproducible non-refusal-rate change rather than a classifier-validated over-refusal shift.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This section reports the corrected view rather than only acknowledging the multiplicity problem.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(−0.048, q = 0.012). Not one HarmBench ASR contrast survives the correction at the 512-token reference budget,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[20]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(0.052 → 0.028, ΔOR = −0.024), a non-significant effect: the bootstrap CI [−0.048, 0.000] now touches zero, and McNemar's exact test on the 11 discordant prompts gives p = 0.109, so under the study's significance criterion (§3.7) the decrease is not confirmed.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not Mistral or Phi) were re-run on HarmBench at a single fixed stochastic setting (temperature 0.7, top-p 0.8, Qwen3's published non-thinking recommendation, applied uniformly to all three pairs for cross-pair comparability rather than per-publisher tuning; Meta's Llama guidance is T = 0.6 / top-p 0.9)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 of 5 seeds individually significant under McNemar's exact test, a directional non-null), and Llama has mean −0.024 with no positive seed in five (2 of 5 seeds individually significant, both decreases), matching its significant safety-improving primary decrease. Across all three pairs no pair is robustly positive. Per-seed deltas and per-seed exact McNemar results are persisted in results_512/analysis/sensitivity_multiseed.json (judge_delta.per_seed and n_seeds_significant_p05), so every per-seed claim in this section is asserted against a committed artifact;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 to 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 to 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0.052 → 0.028 (−2.4 pp; fewer false refusals on benign prompts). Within Qwen the larger model dominates the smaller one on every dimension: more capable, more safety-calibrated, and better calibrated on benign prompts. (Under the v2 non-refusal proxy the baseline ASR gap looks larger because the proxy over-counts;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essentially unchanged (0.028 → 0.024, ΔOR = −0.004,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 §6.11)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one over-refusal decrease, Phi-4-mini (−0.048), with Qwen 1.7B's over-refusal decrease (−0.024) now non-significant (bootstrap CI [−0.048, 0.000] touches zero, McNemar p = 0.109; §3.7). On the harmful-compliance axis, the only ΔASR whose CI excludes zero is Llama 3B's, at −0.040, a decrease, not an increase; no pair shows a significant ASR increase. Under Benjamini, 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none moves significantly in the over-refusing direction and the only confirmed change is benign. Under the v2 scorer: Qwen3-1.7B ΔOR = −0.024 (0.052 → 0.028, not significant: bootstrap CI [−0.048, 0.000] touches zero, McNemar p = 0.109; §3.7), Qwen3-4B −0.004 (0.028 → 0.024, not significant), Llama 3B +0.016 (0.032 → 0.048, not significant), Mistral-7B 0.000 (0.004 → 0.004, not significant), and Phi-4-mini −0.048 (0.128 → 0.080, significant, McNemar p = 0.002). The one significant over-refusal delta (Phi, −0.048) is a decrease and Qwen 1.7B's decrease is now non-significant, both running in the benign direction: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moves that approach or reach significance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nominal significance are Llama (−0.032, which also survives the Benjamini, Hochberg correction) and Qwen 4B (−0.016, uncorrected only, it does not survive correction). So capability degradation holds in direction across all five pairs, reaches significance on at least one benchmark for the Qwen 1.7B, Qwen 4B and Llama pairs, and supplies two of the three effects that survive the Benjamini, Hochberg correction (the third survivor is Phi's over-refusal decrease).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the earlier +0.055 on the 1.7B was a 128-token truncation artefact (§6.16). The answer to RQ4: smaller Qwen models are more sensitive to NF4 quantization on capability *as measured by MMLU*, but this is benchmark-dependent,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one significant delta, Phi's −0.048, is a decrease and the Qwen 1.7B delta is now non-significant; §3.7).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supplies two of the three effects that survive multiplicity correction (the third is Phi's over-refusal decrease),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0.032,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 to 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0.032 to 0.048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0.032 for Llama vs 0.052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(−0.004), Llama-3B (+0.016), Mistral-7B (0.000), and Qwen3-1.7B (−0.024, not significant: bootstrap CI [−0.048, 0.000] touches zero and McNemar p = 0.109; §3.7)), and the one significant move, Phi-4-mini (−0.048), runs in the benign direction, as does Qwen3-1.7B's now non-significant decrease: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one significant over-refusal move is a reduction in false refusals (Phi), with Qwen 1.7B's non-significant move in the same benign direction. The largest upward point estimate is on Llama (+0.016), a directional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 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+0.060 proxy artefact; and Phi in the proxy-reliable camp, κ 0.67, its judge ΔASR a non-significant +0.020 that sits on the tolerance and so carries a directional alignment_degradation label, not a confirmed regression),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0.830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 to 0.59) and high for Llama/Phi (κ ≈ 0.67 to 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 to 0.59) and high for Llama and Phi (κ ≈ 0.67 to 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the sole individually significant contrast is Llama's decrease, and no pair shows a significant harmful-compliance increase under either test, so the study's null-increase conclusion does not depend on the bootstrap machinery. A structural property of the judge, 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a condensed one-sentence yes/no rubric that encodes the same harmful-behaviour criterion as the HarmBench classifier (the api_judge backend; decision D25). The two judges agree strongly at the per-prompt level: across all ten models Cohen's κ ranges from 0.68 to 0.95 (substantial-to-almost-perfect agreement), far higher than the regex-versus-classifier agreement (κ ≈ 0.25 to 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it places Mistral's ASR near 0.55, matching the classifier's ≈0.57, not the v2 proxy's 0.83 to 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Result 5: the classifier tracks human judgment; the regex does not. The two preceding cross-checks compare the classifier against other models. To ground the comparison against truth, a stratified subset of 200 saved HarmBench generations, spanning all ten NF4 aliases and deliberately over-sampling the judge-vs-regex disagreement cases, was labelled by a human annotator against the HarmBench rubric (the redacted aggregate is results_512/analysis/human_validation.json; the annotation sheet holds raw response text and is local-only). The primary classifier agrees with the human at Cohen's κ = 0.59 (moderate agreement); the demoted refusal regex agrees at κ = 0.11 (negligible). Precision makes the gap concrete: of the responses each scorer flagged harmful, the human confirmed 61 percent of the classifier's but only 23 percent of the regex's, so against human judgment the regex issued 101 false-harmful calls to the classifier's 18. Of the three scorers the human applied the highest bar for harmful compliance, flagging the fewest responses, 37 of 200, against the classifier's 46 and the regex's 132, so both automated scorers apply the harmful label more readily than the human does. The two over-countings differ in kind, however: the classifier's disagreement with the human is mild and roughly two-directional (18 responses it flagged that the human judged benign, against 9 the human flagged that it missed), which reads as balanced noise around the human bar; the regex's is a near-one-directional flood (101 over-flags against 6 misses), i.e. systematic over-counting. The classifier is therefore close to the human bar and the regex far above it. This is the human-grounded form of the chapter's central result: refusal-counting over-states harmful compliance relative to the classifier and relative to human judgment, and the classifier is the substantially better scorer. Two bounds are stated with equal plainness. First, κ = 0.59 makes the classifier a better scorer, not a perfect human proxy, it still over-calls 18 cases, exactly the caution the LLM-as-judge literature urges [23], [24]. Second, this is a single annotator on a partly subjective rubric (some behaviours, such as subtly biased but superficially positive text, are genuinely borderline for humans and judges alike), so a second annotator with an inter-rater κ is the natural strengthening. Because the sample over-weights disagreements, κ = 0.59 is if anything a conservative floor on the classifier's agreement over a representative population.</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addressed on two fronts: the second-judge cross-check (Result 4), where an independent frontier judge agrees at κ 0.68 to 0.95 across all ten models and reproduces the finding's direction and magnitude; and the human-label audit (Result 5), which grounds the scorer comparison against human judgment rather than against another model and finds the classifier substantially closer to the human (κ 0.59) than the regex (κ 0.11). The claim this study makes is therefore the human-grounded one, the choice of scorer changes the conclusion, and refusal-counting over-states harmful compliance relative to both the benchmark's own classifier and a human annotator, with the residual honestly bounded: the classifier is a better scorer, not a perfect oracle (κ 0.59 is moderate, not near-perfect), and the grounding rests on a single annotator, so a second annotator with an inter-rater κ is the remaining strengthening. Two further residual caveats concern the judges themselves: the second judge is a versioned API model (less reproducible than the open-weight primary), and both judges share the broad lineage of LLM-based harm classification, so a fully independent open-weight guard (e.g. Llama Guard [25]) would be a complementary future check. As a data-handling note, that second judge is an external API, so for its cross-check the (public) HarmBench behaviour string and the model's generation are transmitted off-cluster, whereas the primary classifier runs entirely on TC1 and only redacted identifier-and-boolean sidecars are stored.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(0.830) rising to 0.890 under quantization, a +0.060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 proxy agreement is the lowest in the study (Cohen's κ = 0.29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takes a directional alignment_degradation label (evidence status: directional), its ΔASR of +0.020 sitting exactly on the +0.02 harm-tolerance boundary and not statistically distinguishable from zero. The judge, proxy agreement is high (κ = 0.67, like Llama), and the second judge agrees at κ 0.68 at baseline and 0.83 under 4-bit at the reference budget,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−0.048 (CI [−0.076, −0.020],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none of the five pairs shows a significant increase in genuine harmful compliance under NF4: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 to 0.59) but tracks the judge for Llama and Phi (κ 0.67 to 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 to 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 to 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budget-sensitive artefact, though of a different kind from the truncation that inflated the Qwen-1.7B NF4 move: Llama's generations truncate at only 3 to 4% (the lowest of any family; §6.16), so its 128-vs-512 instability traces to cross-run greedy divergence (Llama carries the study's highest prefix-mismatch share, §6.16) rather than to cut-off responses, either way,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 to 9 prompts) on a single pair and was non-monotonic; at the 512-token reference budget it does not replicate under either judge (classifier +0.005, gpt-4o +0.010, both McNemar n.s.), so it is best read as a budget-sensitive artefact rather than a method-specific "INT8 erodes safety" effect, and because Llama's generations truncate at only 3 to 4% (§6.16), the instability is attributable to cross-run greedy divergence on thin-margin prompts, not to truncated responses.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so the 128-token run was cutting off the majority of generations before completion, and any safety signal measured there is confounded with where the truncation fell. Two disclosures accompany the prefix statistic. First, it is family-heterogeneous: Mistral truncates at 93.5 to 98.0 percent and Phi at 73.5 to 78.5, Qwen at 54.5 to 70.0, while Llama truncates at only 3.0 to 4.0 percent,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p>
      <w:pPr>
        <w:spacing w:after="160" w:line="300"/>
        <w:jc w:val="both"/>
      </w:pPr>
      <w:r>
        <w:rPr>
          <w:rFonts w:ascii="Calibri" w:cs="Calibri" w:eastAsia="Calibri" w:hAnsi="Calibri"/>
          <w:sz w:val="22"/>
          <w:szCs w:val="22"/>
        </w:rPr>
        <w:t xml:space="preserve">A qualitative note on the form of these longer generations, surfaced while inspecting responses during the human-label audit (§6.12). The generation loop halts only on the tokenizer's default end-of-sequence id and otherwise runs to the token budget, so a completed answer is frequently not the end of the sequence: having nothing left to answer, the model continues, and often fabricates a synthetic next turn, inventing a follow-up user request and then answering it, so a single record can contain the model role-playing both sides of a short dialogue. Because decoding uses skip_special_tokens, the intervening chat-turn markers are stripped and this is saved as a run-on, which is why some responses read as a refusal immediately followed by an unrelated benign answer (a refused harmful request trailed by, for instance, an unprompted explanation of photosynthesis). This is a decoding-configuration artifact, not a model-capability finding, and it is benign for the study's claims on two counts: it is produced identically by both members of every pair, so it cancels in the matched-pair delta; and the primary classifier scores the entire response rather than its opening, so a continuation that did emit harmful content would still be counted (the human-label audit, §6.12 Result 5, is the direct check on whether that scoring is correct, and it finds the classifier substantially closer to human judgment than the regex). Constraining generation to stop at the chat turn-end token is a clean fix for future runs and would also shorten and tidy the saved transcripts.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−0.048), never a harmful-compliance increase. The two judges agree per prompt at Cohen κ 0.68 to 0.95, matching the 0.60 to 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not the safety axis,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five explicit design choices. First, the safety axis is measured under direct harmful requests only, no adversarial attack or jailbreak transformation is applied (Chapter 3),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including attack-mediated ASR under HarmBench's own attack suite,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 to 0.95 across all ten models, and κ 0.68 to 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classifier has also now been grounded against human judgment (§6.12, Result 5): on a stratified subset of 200 generations a human annotator agrees with the classifier at Cohen's κ 0.59 and with the regex at only 0.11, so the classifier is the better scorer against truth, not merely against another model, a moderate, single-annotator agreement that a second annotator would strengthen. The construct-validity threat is therefore substantially resolved (the null-safety conclusion is not an artefact of one classifier, and the primary scorer is closer to human judgment than the demoted regex),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 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its MMLU is essentially preserved and its safety shift is only a non-significant nudge,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 to 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The one prior study that, like this one, isolates quantization at four bits is Hong et al. [16], which, across a broader trust taxonomy, reports that 4-bit compression broadly retains trustworthiness; the null-safety result here is consistent with that finding and extends it with a matched-pair capability anchor and a classifier-validated harmful-compliance scorer.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the curated harmful behaviours presented directly,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highest-impact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the truncation component is resolved: every model answers every item (answered rate 1.000 across all fifteen aliases), so none of the primary ΔMMLU = −0.090 is attributable to answer-format truncation. A distinct format asymmetry remains at 512, however: the lenient fallback parser fires on 48.7% of the 4-bit member's MMLU items versus 3.3% at fp16 (§6.5), so part of the −0.090 magnitude reflects an answer-format shift that the parser scores less reliably, not genuinely wrong answers alone; ARC, which is immune to this asymmetry, corroborates the direction of the loss at a smaller magnitude. The truncation caveat therefore applies only to the retained 128-token comparison (§6.16); the parser-leniency caveat applies at the primary budget and is quantified in §6.5</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Generation not halted at the chat turn boundary. The generation loop stops only on the tokenizer's default end-of-sequence id, so responses frequently run to the full token budget; once its answer is complete the model sometimes generates synthetic follow-up turns, role-playing both sides of a short dialogue, which skip_special_tokens decoding saves as a run-on (§6.16). This is a decoding-configuration artifact: it inflates response length but is produced identically by both pair members, so it cancels in every matched-pair delta, and because the primary classifier scores the whole response (not just its opening) a continuation that emitted harmful content would still be counted. It is a straightforward fix for future runs (add the chat turn-end token to the stop criteria) and does not affect any result reported here.</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and a bounded null. With 200 HarmBench prompts and 250 benign XSTest prompts, binomial-proportion confidence intervals are wider than large leaderboard settings; small deltas may not be statistically separable from zero. The per-pair minimum detectable effect for ΔASR at 200 paired items is approximately 0.04 to 0.09 (reported with the multiple-comparison analysis, §6.5.1). The headline HarmBench null should therefore be read as bounded, the evidence rules out any harmful-compliance increase larger than that detectable effect, not that the change is exactly zero, and pre-registering a smallest effect of interest and powering the design to it, including the two pairs (Mistral, Phi) not yet covered by the multi-seed arm, is noted in Chapter 9.</w:t>
      </w:r>
    </w:p>
    <w:p>
      <w:pPr>
        <w:pStyle w:val="ListParagraph"/>
        <w:numPr>
          <w:ilvl w:val="0"/>
          <w:numId w:val="5"/>
        </w:numPr>
        <w:spacing w:after="80" w:line="280"/>
      </w:pPr>
      <w:r>
        <w:rPr>
          <w:rFonts w:ascii="Calibri" w:cs="Calibri" w:eastAsia="Calibri" w:hAnsi="Calibri"/>
          <w:sz w:val="22"/>
          <w:szCs w:val="22"/>
        </w:rPr>
        <w:t xml:space="preserve">Model-weight provenance (pinned). Each of the five model repositories is pinned by Hugging Face commit hash, the optional revision field (Appendix C) set on every entry in configs/tc1.yaml and configs/tc1_512.yaml (Appendix A), to the exact snapshot cached on TC1 at the recorded run dates, so an online from-scratch reproduction loads byte-identical weights rather than a possibly re-uploaded head. The residual reproducibility boundary is therefore not the weights but the raw per-prompt generations: those are retained locally (gitignored, hash-pinned in results/raw_artifact_manifest.sha256), so the analysis replays from the committed redacted sidecars but is not recomputable from raw generations on a fresh clone.</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highest-impact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[26])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 to 6.3 and analysed in §6.13: under the judge, no pair shows a significant harmful-compliance increase, and at the 512-token reference budget Mistral ΔASR is −0.020 (n.s.; the v2 proxy's positive 'increase' is a sign-flipped over-count, judge-vs-proxy κ as low as 0.25) and Phi ΔASR is +0.020 (directional alignment_degradation,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the apparent Llama-3B INT8 increase seen at 128 tokens (which had been both-judge-significant there) vanishes at 512 (classifier Δ+0.005, McNemar p = 1.000; gpt-4o Δ+0.010, p = 0.688),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and a second human annotator. The primary HarmBench classifier has now been cross-checked against a second frontier judge (gpt-4o, same rubric), which agreed strongly per prompt (κ 0.60 to 0.95 across all ten models, 0.68 to 0.95 at the 512-token reference budget) and reached the same null-safety conclusion at the reference budget (§6.12, Result 4; §6.16), and it has been grounded against human judgment on a stratified 200-item subset (§6.12, Result 5; classifier κ 0.59 vs regex 0.11), substantially resolving the single-judge threat. Because that grounding rests on a single annotator, a second annotator with an inter-rater κ (and adjudication of disagreements) is the natural strengthening on the human side. Two complementary extensions remain on the judge side: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 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 to 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−0.048), so within this study's detection bounds (minimum detectable ΔASR of about 0.06 per pair; §6.5.1)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more consistent with a capability side-effect than with a genuine alignment improvement (the label encodes the correlation between the two axes; it does not by itself establish that the capability loss caused the safety change).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a directional alignment_degradation on safety (ΔASR +0.020 on the +0.02 tolerance boundary, n.s.) with its only significant move a decrease in over-refusal. The INT8 precision point (§6.15) adds that the safety axis is neither bit-width-graded nor budget-robust, the apparent Llama INT8 move at 128 tokens vanishes at the reference budget under both judges,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no evaluated pair shows a significant increase in genuine harmful compliance under NF4,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 to 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A. Abouelenin et al., "Phi-4-Mini technical report: Compact yet powerful multimodal language models via Mixture-of-LoRAs," Microsoft, 2025. arXiv:2503.01743.</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configs/tc1_512.yaml, the configuration of the primary 512-token study (D41), is reproduced below for reference, with explanatory comments lightly abridged. The retired 128-token configuration (configs/tc1.yaml, max_new_tokens: 128, writing to results/) is identical apart from the generation budget and output roots and is retained in the repository for the §6.16 generation-length comparison. The mistral_7b and phi4_mini entries are the cross-family extension: they were run on TC1 on 2026-06-15 and their results are incorporated into Chapter 6 (Tables 6.1 to 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revision: 70d244cc86ccca08cf5af4e1e306ecf908b1ad5e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revision: 1cfa9a7208912126459214e8b04321603b3df60c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revision: 0cb88a4f764b7a12671c53f0838cd831a0843b95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revision: c170c708c41dac9275d15a8fff4eca08d52bab71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revision: cfbefacb99257ffa30c83adab238a50856ac3083  # T32: TC1-cached snapshot pinned 2026-07-08</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results_512/slurm_logs_tc1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ten per-model jobs emitted by the cluster-generate command. The remaining nine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on-the-fly quantized loading.</w:t>
      </w:r>
    </w:p>
    <w:p>
      <w:pPr>
        <w:pStyle w:val="ListParagraph"/>
        <w:numPr>
          <w:ilvl w:val="0"/>
          <w:numId w:val="2"/>
        </w:numPr>
        <w:spacing w:after="80" w:line="280"/>
      </w:pPr>
      <w:r>
        <w:rPr>
          <w:rFonts w:ascii="Calibri" w:cs="Calibri" w:eastAsia="Calibri" w:hAnsi="Calibri"/>
          <w:sz w:val="22"/>
          <w:szCs w:val="22"/>
        </w:rPr>
        <w:t xml:space="preserve">quant_method : str | None : quantization method when quantized=true, "nf4" (default, the main study) or "int8" (LLM.int8, the §6.15 precision point); a validator rejects any other value and rejects the field on a baseline entry.</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 to 2.0)</w:t>
      </w:r>
    </w:p>
    <w:p>
      <w:pPr>
        <w:pStyle w:val="ListParagraph"/>
        <w:numPr>
          <w:ilvl w:val="0"/>
          <w:numId w:val="2"/>
        </w:numPr>
        <w:spacing w:after="80" w:line="280"/>
      </w:pPr>
      <w:r>
        <w:rPr>
          <w:rFonts w:ascii="Calibri" w:cs="Calibri" w:eastAsia="Calibri" w:hAnsi="Calibri"/>
          <w:sz w:val="22"/>
          <w:szCs w:val="22"/>
        </w:rPr>
        <w:t xml:space="preserve">top_p : float (0.0 to 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 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every load-bearing number in the canonical report AND thesis builders is asserted against the committed analysis artifacts (55+ checks; the gate prints its exact count on every run);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2026-07-11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Independent-audit remediation pass. Removed the internal future-session handoff content from Appendix H and reframed it as a scoring-methodology correction record, so no agent instructions, internal task identifiers, or cluster-operational steps remain in the deliverable. Added honest disclosures surfaced by the audit: the historical run artifacts predate resolved-revision, package-version, and dataset-fingerprint capture in each record (the checkpoint revisions are pinned in the committed configs, and the exact environment is now a documented reproducibility caveat rather than a machine-recorded field); the INT8 precision-comparison configs now pin the same model revisions as the NF4 study; the HarmBench judge model and tokenizer revision is now pinnable and recorded with the judge output; XSTest over-refusal is scored by a regex proxy pending an independent-judge or blind human-label validation; and the HarmBench ASR statistical power (per-pair minimum detectable effects of about 0.04 to 0.09 at 200 items) and the three-of-five multi-seed coverage are stated as explicit bounds on the small-effect and cross-family conclusions.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(superseded by the 2026-07-11 pass)</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 to 6.3, the Abstract, all of Chapter 6, the RQ answers, and Chapters 7 to 10 were re-based to the 512 numbers. Headline: no HarmBench ASR contrast survives BH-FDR at the reference budget (the three survivors are capability/over-refusal,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 to 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Mistral-7B-Instruct-v0.3 and Phi-4-mini-instruct, take the study to five pairs / ten models / four families. New §6.13 presents the cross-family results; Tables 6.1/6.2/6.3 extended to all five pairs; Abstract, §6.1, §6.3 (RQ5), §6.4.1 (ARC), §6.9 (RQ2/RQ5), §6.11, §6.12 (second judge now spans all ten models, κ 0.60 to 0.95) and Ch10 updated. Judge-primary (128-token era; superseded by the 512-primary figures): Mistral ΔASR −0.040 (n.s.; the v2 proxy's +0.055 is a sign-flipped over-count, judge-vs-proxy κ 0.11 to 0.19, the study's starkest divergence, with the second judge gpt-4o concurring at κ 0.60 to 0.63); Phi ΔASR 0.000 (robust_preservation, κ 0.67). No new significant ΔASR,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mean +0.024 across five seeds vs the +0.055 greedy headline, not sign-consistent,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 to 0.94 and reproduces the Qwen 1.7B increase in direction (+0.045 vs +0.055), borderline on significance (McNemar p=0.122),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Consistency pass on Appendix H so it reflected the post-D16 judge-primary state, and removed a stale post-release instruction because D16 had already been released.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judge is primary, remaining threat is the absence of a second independent judge). Rewrote Appendix H (§H.2 onward) to the post-judge state (the v2 Qwen 4B figure flagged as superseded; the judge sidecars are the committed primary scorer; an optional second judge remains as future work, not an outstanding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 to 0.37, Llama κ≈0.69 to 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documenting the v1 scorer failure mode, the v2 parser correction, the later immutable-sidecar correction, and the verification evidence for the judge-model validation. Updated cover revision text and Future Work wording to make clear that LlamaGuard/API judge scoring is a derived validation layer rather than a replacement for v2 or a mutation of raw outputs.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ΔASR borderline non-significant), §6.10 (Llama, ΔMMLU significant, ΔASR borderline) rewritten with inline CI annotations. RQ1, 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 to 60981). Table 6.1 fully populated. Table 6.2 expanded to all three pairs. §6.3 updated with cross-family headline finding. §6.9 RQ5 and synthesis sections complete. Added §6.10 Llama 3.2 3B pair observations (baseline profile, MMLU subject breakdown). Added §6.11 cross-family comparison (§6.11.1, §6.11.5: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 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 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Scoring-Methodology Correction Record</w:t>
      </w:r>
    </w:p>
    <w:p>
      <w:pPr>
        <w:spacing w:after="160" w:line="300"/>
        <w:jc w:val="both"/>
      </w:pPr>
      <w:r>
        <w:rPr>
          <w:rFonts w:ascii="Calibri" w:cs="Calibri" w:eastAsia="Calibri" w:hAnsi="Calibri"/>
          <w:sz w:val="22"/>
          <w:szCs w:val="22"/>
        </w:rPr>
        <w:t xml:space="preserve">This appendix documents, for transparency and auditability, the scoring-methodology correction this study underwent: the original refusal-regex scorer, the corrected v2 regex, and the promotion of the official HarmBench classifier to the primary scorer. It also records the immutable-artifact contract that keeps every correction fully reproducible from the saved generations without re-running any target-model inference.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correction proceeded in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at the then-current 128-token budget,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 review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Handling rule</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Remaining construct-validity extension</w:t>
      </w:r>
    </w:p>
    <w:p>
      <w:pPr>
        <w:spacing w:after="160" w:line="300"/>
        <w:jc w:val="both"/>
      </w:pPr>
      <w:r>
        <w:rPr>
          <w:rFonts w:ascii="Calibri" w:cs="Calibri" w:eastAsia="Calibri" w:hAnsi="Calibri"/>
          <w:sz w:val="22"/>
          <w:szCs w:val="22"/>
        </w:rPr>
        <w:t xml:space="preserve">One optional methodological extension remains open and is carried in Chapter 9: adding a second independent judge (for example LlamaGuard or a frontier-model classifier with a strict yes/no rubric) to cross-check the HarmBench classifier itself. This is the one remaining construct-validity threat on the HarmBench metric (§7.4). The framework already supports it through the pluggable judge backend in `ethical_benchmark/judges/validation.py` and the agreement analysis in `scripts/judge_agreement.py`; the primary scorer is unaffected either way.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TAN UEI HORNG (UTAN001)</w:t>
    </w:r>
    <w:r>
      <w:t xml:space="preserve">	</w:t>
    </w:r>
    <w:r>
      <w:rPr>
        <w:rFonts w:ascii="Calibri" w:cs="Calibri" w:eastAsia="Calibri" w:hAnsi="Calibri"/>
        <w:i/>
        <w:iCs/>
        <w:color w:val="666666"/>
        <w:sz w:val="18"/>
        <w:szCs w:val="18"/>
      </w:rPr>
      <w:t xml:space="preserve">FYP Comprehensive Report  ·  2 July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Comprehensive Report: Benchmarking Ethical Performance of Open-Source LLMs (CCDS25-1136)</dc:title>
  <dc:creator>TAN UEI HORNG</dc:creator>
  <cp:lastModifiedBy>Un-named</cp:lastModifiedBy>
  <cp:revision>1</cp:revision>
  <dcterms:created xsi:type="dcterms:W3CDTF">2026-07-11T19:23:13.057Z</dcterms:created>
  <dcterms:modified xsi:type="dcterms:W3CDTF">2026-07-11T19:23:13.058Z</dcterms:modified>
</cp:coreProperties>
</file>

<file path=docProps/custom.xml><?xml version="1.0" encoding="utf-8"?>
<Properties xmlns="http://schemas.openxmlformats.org/officeDocument/2006/custom-properties" xmlns:vt="http://schemas.openxmlformats.org/officeDocument/2006/docPropsVTypes"/>
</file>