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reinforces that MMLU-specificity: the option-letter parser falls back to a lenient “first in-range capital letter anywhere” scan when a response neither leads with the option letter nor states an explicit “answer is X”, and this fallback fires on 48.7 percent of qwen_2b_4bit MMLU items versus 3.3 percent for its fp16 twin, at far lower accuracy (46 percent against the leading-letter rule’s 75 percent). Part of the −0.090 gap therefore reflects a shift in answer format that the lenient parser scores less reliably, not only lost knowledge — and the ARC drop above, scored by an identical protocol for both members and immune to this asymmetry, corroborates the direction of the loss while indicating that its MMLU magnitude is partly parser-inflated.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and should be read as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2026-07-11T19:23:12.596Z</dcterms:created>
  <dcterms:modified xsi:type="dcterms:W3CDTF">2026-07-11T19:23:12.596Z</dcterms:modified>
</cp:coreProperties>
</file>

<file path=docProps/custom.xml><?xml version="1.0" encoding="utf-8"?>
<Properties xmlns="http://schemas.openxmlformats.org/officeDocument/2006/custom-properties" xmlns:vt="http://schemas.openxmlformats.org/officeDocument/2006/docPropsVTypes"/>
</file>