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r>
        <w:rPr>
          <w:rFonts w:ascii="Times New Roman" w:cs="Times New Roman" w:eastAsia="Times New Roman" w:hAnsi="Times New Roman"/>
          <w:sz w:val="24"/>
          <w:szCs w:val="24"/>
        </w:rPr>
        <w:t xml:space="preserve"> </w:t>
      </w:r>
    </w:p>
    <w:p>
      <w:pPr>
        <w:spacing w:after="60"/>
        <w:jc w:val="center"/>
      </w:pPr>
      <w:r>
        <w:rPr>
          <w:rFonts w:ascii="Times New Roman" w:cs="Times New Roman" w:eastAsia="Times New Roman" w:hAnsi="Times New Roman"/>
          <w:b/>
          <w:bCs/>
          <w:sz w:val="30"/>
          <w:szCs w:val="30"/>
        </w:rPr>
        <w:t xml:space="preserve">NANYANG TECHNOLOGICAL UNIVERSITY</w:t>
      </w:r>
    </w:p>
    <w:p>
      <w:pPr>
        <w:spacing w:after="560"/>
        <w:jc w:val="center"/>
      </w:pPr>
      <w:r>
        <w:rPr>
          <w:rFonts w:ascii="Times New Roman" w:cs="Times New Roman" w:eastAsia="Times New Roman" w:hAnsi="Times New Roman"/>
          <w:sz w:val="24"/>
          <w:szCs w:val="24"/>
        </w:rPr>
        <w:t xml:space="preserve">College of Computing and Data Science</w:t>
      </w:r>
    </w:p>
    <w:p>
      <w:pPr>
        <w:spacing w:after="60"/>
        <w:jc w:val="center"/>
      </w:pPr>
      <w:r>
        <w:rPr>
          <w:rFonts w:ascii="Times New Roman" w:cs="Times New Roman" w:eastAsia="Times New Roman" w:hAnsi="Times New Roman"/>
          <w:b/>
          <w:bCs/>
          <w:sz w:val="24"/>
          <w:szCs w:val="24"/>
        </w:rPr>
        <w:t xml:space="preserve">FINAL YEAR PROJECT</w:t>
      </w:r>
    </w:p>
    <w:p>
      <w:pPr>
        <w:spacing w:after="480"/>
        <w:jc w:val="center"/>
      </w:pPr>
      <w:r>
        <w:rPr>
          <w:rFonts w:ascii="Times New Roman" w:cs="Times New Roman" w:eastAsia="Times New Roman" w:hAnsi="Times New Roman"/>
          <w:b/>
          <w:bCs/>
          <w:sz w:val="28"/>
          <w:szCs w:val="28"/>
        </w:rPr>
        <w:t xml:space="preserve">Interim Report</w:t>
      </w:r>
    </w:p>
    <w:p>
      <w:pPr>
        <w:spacing w:after="100"/>
        <w:jc w:val="center"/>
      </w:pPr>
      <w:r>
        <w:rPr>
          <w:rFonts w:ascii="Times New Roman" w:cs="Times New Roman" w:eastAsia="Times New Roman" w:hAnsi="Times New Roman"/>
          <w:b/>
          <w:bCs/>
          <w:sz w:val="32"/>
          <w:szCs w:val="32"/>
        </w:rPr>
        <w:t xml:space="preserve">Benchmarking the Ethical Performance of Open-Source LLMs:</w:t>
      </w:r>
    </w:p>
    <w:p>
      <w:pPr>
        <w:spacing w:after="760"/>
        <w:jc w:val="center"/>
      </w:pPr>
      <w:r>
        <w:rPr>
          <w:rFonts w:ascii="Times New Roman" w:cs="Times New Roman" w:eastAsia="Times New Roman" w:hAnsi="Times New Roman"/>
          <w:b/>
          <w:bCs/>
          <w:sz w:val="28"/>
          <w:szCs w:val="28"/>
        </w:rPr>
        <w:t xml:space="preserve">A Matched-Pair, Judge-Validated Study of Safety–Capability Trade-offs in Quantized Compact Language Models (fp16 → INT8 → NF4)</w:t>
      </w:r>
    </w:p>
    <w:p>
      <w:pPr>
        <w:spacing w:after="200"/>
        <w:jc w:val="center"/>
      </w:pPr>
      <w:r>
        <w:rPr>
          <w:rFonts w:ascii="Times New Roman" w:cs="Times New Roman" w:eastAsia="Times New Roman" w:hAnsi="Times New Roman"/>
          <w:b/>
          <w:bCs/>
          <w:sz w:val="24"/>
          <w:szCs w:val="24"/>
        </w:rPr>
        <w:t xml:space="preserve">Project Code:  CCDS25-1136</w:t>
      </w:r>
    </w:p>
    <w:p>
      <w:pPr>
        <w:spacing w:after="120"/>
        <w:jc w:val="center"/>
      </w:pPr>
      <w:r>
        <w:rPr>
          <w:rFonts w:ascii="Times New Roman" w:cs="Times New Roman" w:eastAsia="Times New Roman" w:hAnsi="Times New Roman"/>
          <w:b/>
          <w:bCs/>
          <w:sz w:val="26"/>
          <w:szCs w:val="26"/>
        </w:rPr>
        <w:t xml:space="preserve">Student:  TAN UEI HORNG  (UTAN001)</w:t>
      </w:r>
    </w:p>
    <w:p>
      <w:pPr>
        <w:spacing w:after="120"/>
        <w:jc w:val="center"/>
      </w:pPr>
      <w:r>
        <w:rPr>
          <w:rFonts w:ascii="Times New Roman" w:cs="Times New Roman" w:eastAsia="Times New Roman" w:hAnsi="Times New Roman"/>
          <w:sz w:val="22"/>
          <w:szCs w:val="22"/>
        </w:rPr>
        <w:t xml:space="preserve">Email:  UTAN001@e.ntu.edu.sg</w:t>
      </w:r>
    </w:p>
    <w:p>
      <w:pPr>
        <w:spacing w:after="560"/>
        <w:jc w:val="center"/>
      </w:pPr>
      <w:r>
        <w:rPr>
          <w:rFonts w:ascii="Times New Roman" w:cs="Times New Roman" w:eastAsia="Times New Roman" w:hAnsi="Times New Roman"/>
          <w:sz w:val="22"/>
          <w:szCs w:val="22"/>
        </w:rPr>
        <w:t xml:space="preserve">Supervisor:  Dr. Zhang Jiehuang  (jiehuang.zhang@ntu.edu.sg)</w:t>
      </w:r>
    </w:p>
    <w:p>
      <w:pPr>
        <w:spacing w:after="80"/>
        <w:jc w:val="center"/>
      </w:pPr>
      <w:r>
        <w:rPr>
          <w:rFonts w:ascii="Times New Roman" w:cs="Times New Roman" w:eastAsia="Times New Roman" w:hAnsi="Times New Roman"/>
          <w:b/>
          <w:bCs/>
          <w:sz w:val="26"/>
          <w:szCs w:val="26"/>
        </w:rPr>
        <w:t xml:space="preserve">Interim Report · 10 July 2026 · content revised through 22 July 2026</w:t>
      </w:r>
    </w:p>
    <w:p>
      <w:pPr>
        <w:spacing w:after="120"/>
        <w:jc w:val="center"/>
      </w:pPr>
      <w:r>
        <w:rPr>
          <w:rFonts w:ascii="Times New Roman" w:cs="Times New Roman" w:eastAsia="Times New Roman" w:hAnsi="Times New Roman"/>
          <w:i/>
          <w:iCs/>
          <w:color w:val="555555"/>
          <w:sz w:val="18"/>
          <w:szCs w:val="18"/>
        </w:rPr>
        <w:t xml:space="preserve">Five matched pairs / ten models / four families · three precisions · four benchmarks · HarmBench 512-token reference budget · artifact-derived claim registry</w:t>
      </w:r>
    </w:p>
    <w:p>
      <w:r>
        <w:br w:type="page"/>
      </w:r>
    </w:p>
    <w:p>
      <w:pPr>
        <w:pStyle w:val="Heading1"/>
        <w:spacing w:after="200"/>
      </w:pPr>
      <w:r>
        <w:rPr>
          <w:rFonts w:ascii="Times New Roman" w:cs="Times New Roman" w:eastAsia="Times New Roman" w:hAnsi="Times New Roman"/>
          <w:b/>
          <w:bCs/>
          <w:sz w:val="32"/>
          <w:szCs w:val="32"/>
        </w:rPr>
        <w:t xml:space="preserve">Declaration of Originality</w:t>
      </w:r>
    </w:p>
    <w:p>
      <w:pPr>
        <w:spacing w:after="160" w:line="360"/>
        <w:jc w:val="both"/>
      </w:pPr>
      <w:r>
        <w:rPr>
          <w:rFonts w:ascii="Times New Roman" w:cs="Times New Roman" w:eastAsia="Times New Roman" w:hAnsi="Times New Roman"/>
          <w:sz w:val="24"/>
          <w:szCs w:val="24"/>
        </w:rPr>
        <w:t xml:space="preserve">I hereby declare that this Final Year Project interim report is my own work and, to the best of my knowledge and belief, it contains no material previously published or written by another person, nor material that has been accepted for the award of any other degree or diploma of a university or other institution of higher learning, except where due acknowledgement has been made in the text. The intellectual content of this interim report (its research design, experimental methodology, analysis, and interpretation) is the product of my own work, although I have received assistance on software implementation, language, and presentation as acknowledged herein.</w:t>
      </w:r>
    </w:p>
    <w:p>
      <w:pPr>
        <w:spacing w:after="160" w:line="360"/>
        <w:jc w:val="both"/>
      </w:pPr>
      <w:r>
        <w:rPr>
          <w:rFonts w:ascii="Times New Roman" w:cs="Times New Roman" w:eastAsia="Times New Roman" w:hAnsi="Times New Roman"/>
          <w:sz w:val="24"/>
          <w:szCs w:val="24"/>
        </w:rPr>
        <w:t xml:space="preserve">All experimental results reported in this interim report were produced by the open-source benchmarking framework described herein, executed on the NTU TC1 GPU cluster. Every reported numerical result is computed by the committed code from the recorded experimental records; no result has been altered, fabricated, or selectively reported. The per-generation raw records are retained locally and pinned by cryptographic hash rather than committed to the public repository, so a third party reproduces the results either by re-running the pipeline from the committed configuration and source code, or by replaying the committed redacted score sidecars — not by recomputing from raw generations on a fresh clone. Where the work of others has been used, it has been cited and referenced.</w:t>
      </w:r>
    </w:p>
    <w:p>
      <w:pPr>
        <w:spacing w:after="40" w:before="700"/>
      </w:pPr>
      <w:r>
        <w:rPr>
          <w:rFonts w:ascii="Times New Roman" w:cs="Times New Roman" w:eastAsia="Times New Roman" w:hAnsi="Times New Roman"/>
          <w:sz w:val="24"/>
          <w:szCs w:val="24"/>
        </w:rPr>
        <w:t xml:space="preserve">_______________________________</w:t>
      </w:r>
    </w:p>
    <w:p>
      <w:pPr>
        <w:spacing w:after="30" w:line="360"/>
        <w:jc w:val="left"/>
      </w:pPr>
      <w:r>
        <w:rPr>
          <w:rFonts w:ascii="Times New Roman" w:cs="Times New Roman" w:eastAsia="Times New Roman" w:hAnsi="Times New Roman"/>
          <w:sz w:val="24"/>
          <w:szCs w:val="24"/>
        </w:rPr>
        <w:t xml:space="preserve">Tan Uei Horng  (UTAN001)</w:t>
      </w:r>
    </w:p>
    <w:p>
      <w:pPr>
        <w:spacing w:after="30" w:line="360"/>
        <w:jc w:val="left"/>
      </w:pPr>
      <w:r>
        <w:rPr>
          <w:rFonts w:ascii="Times New Roman" w:cs="Times New Roman" w:eastAsia="Times New Roman" w:hAnsi="Times New Roman"/>
          <w:sz w:val="24"/>
          <w:szCs w:val="24"/>
        </w:rPr>
        <w:t xml:space="preserve">College of Computing and Data Science, Nanyang Technological University</w:t>
      </w:r>
    </w:p>
    <w:p>
      <w:pPr>
        <w:spacing w:after="30" w:line="360"/>
        <w:jc w:val="left"/>
      </w:pPr>
      <w:r>
        <w:rPr>
          <w:rFonts w:ascii="Times New Roman" w:cs="Times New Roman" w:eastAsia="Times New Roman" w:hAnsi="Times New Roman"/>
          <w:sz w:val="24"/>
          <w:szCs w:val="24"/>
        </w:rPr>
        <w:t xml:space="preserve">Date:  10 July 2026</w:t>
      </w:r>
    </w:p>
    <w:p>
      <w:r>
        <w:br w:type="page"/>
      </w:r>
    </w:p>
    <w:p>
      <w:pPr>
        <w:pStyle w:val="Heading1"/>
        <w:spacing w:after="200"/>
      </w:pPr>
      <w:r>
        <w:rPr>
          <w:rFonts w:ascii="Times New Roman" w:cs="Times New Roman" w:eastAsia="Times New Roman" w:hAnsi="Times New Roman"/>
          <w:b/>
          <w:bCs/>
          <w:sz w:val="32"/>
          <w:szCs w:val="32"/>
        </w:rPr>
        <w:t xml:space="preserve">Abstract</w:t>
      </w:r>
    </w:p>
    <w:p>
      <w:pPr>
        <w:spacing w:after="160" w:line="360"/>
        <w:jc w:val="both"/>
      </w:pPr>
      <w:r>
        <w:rPr>
          <w:rFonts w:ascii="Times New Roman" w:cs="Times New Roman" w:eastAsia="Times New Roman" w:hAnsi="Times New Roman"/>
          <w:sz w:val="24"/>
          <w:szCs w:val="24"/>
        </w:rPr>
        <w:t xml:space="preserve">Compact instruction-tuned language models in the one-to-seven-billion-parameter range are increasingly deployed on edge and consumer hardware, where quantization, most commonly four-bit, has become the de facto method for fitting them into available memory. Quantization is not behaviourally neutral: it can alter safety alignment, refusal calibration, and general capability. Yet reports disagree, and two measurement problems confound them: a brittle refusal-matching scorer can over-count “attack success,” and the number of tokens a model is allowed to generate during evaluation can manufacture or hide a safety effect outright. This interim report asks whether the safety changes attributed to quantization are genuine alignment shifts or artefacts of capability loss, invalid scoring, or truncated generation.</w:t>
      </w:r>
    </w:p>
    <w:p>
      <w:pPr>
        <w:spacing w:after="160" w:line="360"/>
        <w:jc w:val="both"/>
      </w:pPr>
      <w:r>
        <w:rPr>
          <w:rFonts w:ascii="Times New Roman" w:cs="Times New Roman" w:eastAsia="Times New Roman" w:hAnsi="Times New Roman"/>
          <w:sz w:val="24"/>
          <w:szCs w:val="24"/>
        </w:rPr>
        <w:t xml:space="preserve">It contributes an open, reproducible benchmarking framework built around a matched-pair design (baseline and quantized members are loaded from identical weights, with quantization applied on the fly at load time) so that quantization is the sole experimental variable. Five model pairs across four families (Qwen3-1.7B, Qwen3-4B, Llama-3.2-3B-Instruct, Mistral-7B-Instruct-v0.3, and Phi-4-mini-instruct), spanning roughly 1.7 to 7.2 billion parameters, are evaluated across three precisions (fp16, INT8/LLM.int8, and NF4 four-bit) on four benchmarks: HarmBench (harmful compliance, Attack Success Rate), XSTest (over-refusal), and the MMLU and ARC-Challenge accuracy benchmarks (capability). Harmful compliance is scored by the official HarmBench classifier as the primary judge and cross-checked by a second, architecturally independent judge (GPT-4o); a refusal regex is retained only as a demoted, transparent proxy. Two scope controls apply throughout: the safety prompts are HarmBench’s standard harmful behaviours presented directly, with no adversarial attack augmentation, so ASR measures harmful compliance under direct requests; and generation uses HarmBench’s own standardized 512-token evaluation budget as the primary configuration, with an initial 128-token run retained as a controlled comparison. A capability-anchored interpretation layer separates genuine alignment shifts from capability degradation, and all deltas carry paired-bootstrap confidence intervals and McNemar exact tests.</w:t>
      </w:r>
    </w:p>
    <w:p>
      <w:pPr>
        <w:spacing w:after="160" w:line="360"/>
        <w:jc w:val="both"/>
      </w:pPr>
      <w:r>
        <w:rPr>
          <w:rFonts w:ascii="Times New Roman" w:cs="Times New Roman" w:eastAsia="Times New Roman" w:hAnsi="Times New Roman"/>
          <w:sz w:val="24"/>
          <w:szCs w:val="24"/>
        </w:rPr>
        <w:t xml:space="preserve">Three findings result. First, methodologically, the scorer and the generation budget each determine the conclusion. The refusal regex systematically over-counts harmful compliance (its harmful set is a near-strict superset of the classifier’s; judge-versus-regex agreement is family-dependent, Cohen’s κ 0.25 to 0.84). And the original 128-token budget had truncated 60.3 percent of generations mid-answer, manufacturing an apparent safety regression in the smallest model (Qwen3-1.7B, ΔASR = +0.055, then significant) that dissolves entirely at the reference budget (ΔASR = 0.000 under the classifier and +0.005 under the second judge, McNemar p = 1.000 under both). Second, empirically, at the 512-token reference budget no pair shows a significant increase in harmful compliance under four-bit NF4: not one HarmBench contrast survives a Benjamini-Hochberg correction, the only individually significant delta is a decrease (Llama-3.2-3B, −0.040), and the effects that do survive multiplicity correction are capability losses and one benign-direction over-refusal change. Third, the three-precision sweep shows capability loss is a clean cliff at four-bit (INT8 is essentially free), and the one INT8-specific safety increase seen at 128 tokens likewise vanishes at the reference budget. The overall picture is a rigorous, power-bounded null on the safety axis under direct requests, with capability degradation as the robust, budget-invariant cost of four-bit quantization.</w:t>
      </w:r>
    </w:p>
    <w:p>
      <w:pPr>
        <w:spacing w:after="160" w:line="360"/>
        <w:jc w:val="both"/>
      </w:pPr>
      <w:r>
        <w:rPr>
          <w:rFonts w:ascii="Times New Roman" w:cs="Times New Roman" w:eastAsia="Times New Roman" w:hAnsi="Times New Roman"/>
          <w:sz w:val="24"/>
          <w:szCs w:val="24"/>
        </w:rPr>
        <w:t xml:space="preserve">Status of this interim report. This report presents the project’s completed methodology, system, experimental setup, and results, together with the corrections and re-runs made along the way (a scorer-validity correction and a generation-budget re-run, both documented in Chapter 6) and an explicit statement of remaining work. All experiments across the five matched pairs, three precisions, and four benchmarks are complete, as are the two-judge cross-check and a single-annotator human-label validation of the primary scorer; the outstanding items are a second human annotator for an inter-rater agreement figure and the final thesis write-up. The full-length treatment of every result arm is deferred to the final thesis; this interim report presents each at headline depth.</w:t>
      </w:r>
    </w:p>
    <w:p>
      <w:r>
        <w:br w:type="page"/>
      </w:r>
    </w:p>
    <w:p>
      <w:pPr>
        <w:pStyle w:val="Heading1"/>
        <w:spacing w:after="200"/>
      </w:pPr>
      <w:r>
        <w:rPr>
          <w:rFonts w:ascii="Times New Roman" w:cs="Times New Roman" w:eastAsia="Times New Roman" w:hAnsi="Times New Roman"/>
          <w:b/>
          <w:bCs/>
          <w:sz w:val="32"/>
          <w:szCs w:val="32"/>
        </w:rPr>
        <w:t xml:space="preserve">Acknowledgements</w:t>
      </w:r>
    </w:p>
    <w:p>
      <w:pPr>
        <w:spacing w:after="160" w:line="360"/>
        <w:jc w:val="both"/>
      </w:pPr>
      <w:r>
        <w:rPr>
          <w:rFonts w:ascii="Times New Roman" w:cs="Times New Roman" w:eastAsia="Times New Roman" w:hAnsi="Times New Roman"/>
          <w:sz w:val="24"/>
          <w:szCs w:val="24"/>
        </w:rPr>
        <w:t xml:space="preserve">I am grateful to my supervisor, Dr. Zhang Jiehuang, for guidance, feedback, and direction throughout this Final Year Project. I thank the NTU College of Computing and Data Science for access to the TC1 GPU cluster, on which all experiments were run. This work builds upon a large body of open-source artefacts, and I acknowledge the maintainers of the Hugging Face transformers and bitsandbytes libraries; the authors of the HarmBench, XSTest, MMLU, and ARC-Challenge benchmarks and of the official HarmBench classifier; and the broader open evaluation community, whose tools and datasets made this study possible.</w:t>
      </w:r>
    </w:p>
    <w:p>
      <w:r>
        <w:br w:type="page"/>
      </w:r>
    </w:p>
    <w:p>
      <w:pPr>
        <w:pStyle w:val="Heading1"/>
        <w:spacing w:after="200"/>
      </w:pPr>
      <w:r>
        <w:rPr>
          <w:rFonts w:ascii="Times New Roman" w:cs="Times New Roman" w:eastAsia="Times New Roman" w:hAnsi="Times New Roman"/>
          <w:b/>
          <w:bCs/>
          <w:sz w:val="32"/>
          <w:szCs w:val="32"/>
        </w:rPr>
        <w:t xml:space="preserve">Declaration on the Use of Generative AI Tools</w:t>
      </w:r>
    </w:p>
    <w:p>
      <w:pPr>
        <w:spacing w:after="160" w:line="360"/>
        <w:jc w:val="both"/>
      </w:pPr>
      <w:r>
        <w:rPr>
          <w:rFonts w:ascii="Times New Roman" w:cs="Times New Roman" w:eastAsia="Times New Roman" w:hAnsi="Times New Roman"/>
          <w:sz w:val="24"/>
          <w:szCs w:val="24"/>
        </w:rPr>
        <w:t xml:space="preserve">In the interest of transparency and in accordance with academic-integrity guidance and emerging open-source-software norms (for example, the Journal of Open Source Software AI-usage disclosure policy), I disclose that generative-AI coding and writing assistants were used during this project to assist with software implementation, automated test authoring, analysis scripting, documentation, and language editing. All such assistance was carried out under my direction. I reviewed, validated, and take full responsibility for all AI-assisted outputs, and the core research design, scientific claims, experimental decisions, and their interpretation are my own. No data, results, or citations were fabricated: every reported number is computed by the committed code from the recorded experimental artefacts, and all cited sources were independently verified.</w:t>
      </w:r>
    </w:p>
    <w:p>
      <w:r>
        <w:br w:type="page"/>
      </w:r>
    </w:p>
    <w:p>
      <w:pPr>
        <w:pStyle w:val="Heading1"/>
        <w:spacing w:after="200"/>
      </w:pPr>
      <w:r>
        <w:rPr>
          <w:rFonts w:ascii="Times New Roman" w:cs="Times New Roman" w:eastAsia="Times New Roman" w:hAnsi="Times New Roman"/>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pPr>
      <w:r>
        <w:rPr>
          <w:rFonts w:ascii="Times New Roman" w:cs="Times New Roman" w:eastAsia="Times New Roman" w:hAnsi="Times New Roman"/>
          <w:b/>
          <w:bCs/>
          <w:sz w:val="32"/>
          <w:szCs w:val="32"/>
        </w:rPr>
        <w:t xml:space="preserve">List of Tables and Figures</w:t>
      </w:r>
    </w:p>
    <w:p>
      <w:pPr>
        <w:spacing w:after="60" w:line="360"/>
        <w:jc w:val="left"/>
      </w:pPr>
      <w:r>
        <w:rPr>
          <w:rFonts w:ascii="Times New Roman" w:cs="Times New Roman" w:eastAsia="Times New Roman" w:hAnsi="Times New Roman"/>
          <w:sz w:val="24"/>
          <w:szCs w:val="24"/>
        </w:rPr>
        <w:t xml:space="preserve">Table 3.1  Model pairs, families, and parameter scales.</w:t>
      </w:r>
    </w:p>
    <w:p>
      <w:pPr>
        <w:spacing w:after="60" w:line="360"/>
        <w:jc w:val="left"/>
      </w:pPr>
      <w:r>
        <w:rPr>
          <w:rFonts w:ascii="Times New Roman" w:cs="Times New Roman" w:eastAsia="Times New Roman" w:hAnsi="Times New Roman"/>
          <w:sz w:val="24"/>
          <w:szCs w:val="24"/>
        </w:rPr>
        <w:t xml:space="preserve">Table 3.2  Benchmarks, primary metrics, and sample budgets.</w:t>
      </w:r>
    </w:p>
    <w:p>
      <w:pPr>
        <w:spacing w:after="60" w:line="360"/>
        <w:jc w:val="left"/>
      </w:pPr>
      <w:r>
        <w:rPr>
          <w:rFonts w:ascii="Times New Roman" w:cs="Times New Roman" w:eastAsia="Times New Roman" w:hAnsi="Times New Roman"/>
          <w:sz w:val="24"/>
          <w:szCs w:val="24"/>
        </w:rPr>
        <w:t xml:space="preserve">Table 3.3  Interpretation labels derived from combined deltas.</w:t>
      </w:r>
    </w:p>
    <w:p>
      <w:pPr>
        <w:spacing w:after="60" w:line="360"/>
        <w:jc w:val="left"/>
      </w:pPr>
      <w:r>
        <w:rPr>
          <w:rFonts w:ascii="Times New Roman" w:cs="Times New Roman" w:eastAsia="Times New Roman" w:hAnsi="Times New Roman"/>
          <w:sz w:val="24"/>
          <w:szCs w:val="24"/>
        </w:rPr>
        <w:t xml:space="preserve">Table 5.1  Experimental configuration summary.</w:t>
      </w:r>
    </w:p>
    <w:p>
      <w:pPr>
        <w:spacing w:after="60" w:line="360"/>
        <w:jc w:val="left"/>
      </w:pPr>
      <w:r>
        <w:rPr>
          <w:rFonts w:ascii="Times New Roman" w:cs="Times New Roman" w:eastAsia="Times New Roman" w:hAnsi="Times New Roman"/>
          <w:sz w:val="24"/>
          <w:szCs w:val="24"/>
        </w:rPr>
        <w:t xml:space="preserve">Table 6.1  Judge-versus-regex agreement (Cohen’s κ) by model family.</w:t>
      </w:r>
    </w:p>
    <w:p>
      <w:pPr>
        <w:spacing w:after="60" w:line="360"/>
        <w:jc w:val="left"/>
      </w:pPr>
      <w:r>
        <w:rPr>
          <w:rFonts w:ascii="Times New Roman" w:cs="Times New Roman" w:eastAsia="Times New Roman" w:hAnsi="Times New Roman"/>
          <w:sz w:val="24"/>
          <w:szCs w:val="24"/>
        </w:rPr>
        <w:t xml:space="preserve">Table 6.2  Main study at the 512-token reference budget: per-pair deltas and labels (fp16 vs NF4).</w:t>
      </w:r>
    </w:p>
    <w:p>
      <w:pPr>
        <w:spacing w:after="60" w:line="360"/>
        <w:jc w:val="left"/>
      </w:pPr>
      <w:r>
        <w:rPr>
          <w:rFonts w:ascii="Times New Roman" w:cs="Times New Roman" w:eastAsia="Times New Roman" w:hAnsi="Times New Roman"/>
          <w:sz w:val="24"/>
          <w:szCs w:val="24"/>
        </w:rPr>
        <w:t xml:space="preserve">Table 6.3  Precision sweep: HarmBench ASR at fp16 / INT8 / NF4 (judge).</w:t>
      </w:r>
    </w:p>
    <w:p>
      <w:pPr>
        <w:spacing w:after="60" w:line="360"/>
        <w:jc w:val="left"/>
      </w:pPr>
      <w:r>
        <w:rPr>
          <w:rFonts w:ascii="Times New Roman" w:cs="Times New Roman" w:eastAsia="Times New Roman" w:hAnsi="Times New Roman"/>
          <w:sz w:val="24"/>
          <w:szCs w:val="24"/>
        </w:rPr>
        <w:t xml:space="preserve">Figure 1  Study design: matched pairs, the precision arm, the benchmark battery, and the inference pipeline.</w:t>
      </w:r>
    </w:p>
    <w:p>
      <w:pPr>
        <w:spacing w:after="60" w:line="360"/>
        <w:jc w:val="left"/>
      </w:pPr>
      <w:r>
        <w:rPr>
          <w:rFonts w:ascii="Times New Roman" w:cs="Times New Roman" w:eastAsia="Times New Roman" w:hAnsi="Times New Roman"/>
          <w:sz w:val="24"/>
          <w:szCs w:val="24"/>
        </w:rPr>
        <w:t xml:space="preserve">Figure 2  System architecture: configuration, execution, benchmark plugins, scoring, and analysis.</w:t>
      </w:r>
    </w:p>
    <w:p>
      <w:pPr>
        <w:spacing w:after="60" w:line="360"/>
        <w:jc w:val="left"/>
      </w:pPr>
      <w:r>
        <w:rPr>
          <w:rFonts w:ascii="Times New Roman" w:cs="Times New Roman" w:eastAsia="Times New Roman" w:hAnsi="Times New Roman"/>
          <w:sz w:val="24"/>
          <w:szCs w:val="24"/>
        </w:rPr>
        <w:t xml:space="preserve">Figure 3  TC1 execution model: workstation, head node, GPU compute node, and the return path.</w:t>
      </w:r>
    </w:p>
    <w:p>
      <w:pPr>
        <w:spacing w:after="60" w:line="360"/>
        <w:jc w:val="left"/>
      </w:pPr>
      <w:r>
        <w:rPr>
          <w:rFonts w:ascii="Times New Roman" w:cs="Times New Roman" w:eastAsia="Times New Roman" w:hAnsi="Times New Roman"/>
          <w:sz w:val="24"/>
          <w:szCs w:val="24"/>
        </w:rPr>
        <w:t xml:space="preserve">Figure 4  Scorer validation: judge ASR vs regex proxy, and judge-vs-proxy Cohen’s κ.</w:t>
      </w:r>
    </w:p>
    <w:p>
      <w:pPr>
        <w:spacing w:after="60" w:line="360"/>
        <w:jc w:val="left"/>
      </w:pPr>
      <w:r>
        <w:rPr>
          <w:rFonts w:ascii="Times New Roman" w:cs="Times New Roman" w:eastAsia="Times New Roman" w:hAnsi="Times New Roman"/>
          <w:sz w:val="24"/>
          <w:szCs w:val="24"/>
        </w:rPr>
        <w:t xml:space="preserve">Figure 5  The capability-anchored safety space (ΔMMLU vs judge ΔASR, with label regions).</w:t>
      </w:r>
    </w:p>
    <w:p>
      <w:pPr>
        <w:spacing w:after="60" w:line="360"/>
        <w:jc w:val="left"/>
      </w:pPr>
      <w:r>
        <w:rPr>
          <w:rFonts w:ascii="Times New Roman" w:cs="Times New Roman" w:eastAsia="Times New Roman" w:hAnsi="Times New Roman"/>
          <w:sz w:val="24"/>
          <w:szCs w:val="24"/>
        </w:rPr>
        <w:t xml:space="preserve">Figure 6  Precision sweep fp16 → INT8 → NF4 (HarmBench ASR, MMLU, ARC).</w:t>
      </w:r>
    </w:p>
    <w:p>
      <w:r>
        <w:br w:type="page"/>
      </w:r>
    </w:p>
    <w:p>
      <w:pPr>
        <w:pStyle w:val="Heading1"/>
        <w:pageBreakBefore/>
        <w:spacing w:after="200"/>
      </w:pPr>
      <w:r>
        <w:rPr>
          <w:rFonts w:ascii="Times New Roman" w:cs="Times New Roman" w:eastAsia="Times New Roman" w:hAnsi="Times New Roman"/>
          <w:b/>
          <w:bCs/>
          <w:sz w:val="32"/>
          <w:szCs w:val="32"/>
        </w:rPr>
        <w:t xml:space="preserve">Chapter 1  Introduction</w:t>
      </w:r>
    </w:p>
    <w:p>
      <w:pPr>
        <w:pStyle w:val="Heading2"/>
        <w:spacing w:after="140" w:before="200"/>
      </w:pPr>
      <w:r>
        <w:rPr>
          <w:rFonts w:ascii="Times New Roman" w:cs="Times New Roman" w:eastAsia="Times New Roman" w:hAnsi="Times New Roman"/>
          <w:b/>
          <w:bCs/>
          <w:sz w:val="27"/>
          <w:szCs w:val="27"/>
        </w:rPr>
        <w:t xml:space="preserve">1.1  Motivation</w:t>
      </w:r>
    </w:p>
    <w:p>
      <w:pPr>
        <w:spacing w:after="160" w:line="360"/>
        <w:jc w:val="both"/>
      </w:pPr>
      <w:r>
        <w:rPr>
          <w:rFonts w:ascii="Times New Roman" w:cs="Times New Roman" w:eastAsia="Times New Roman" w:hAnsi="Times New Roman"/>
          <w:sz w:val="24"/>
          <w:szCs w:val="24"/>
        </w:rPr>
        <w:t xml:space="preserve">Large language models (LLMs) are increasingly deployed not in data centres but on laptops, phones, and embedded devices, where memory is scarce. The dominant enabler of this shift is quantization: representing model weights in eight, four, or fewer bits instead of sixteen, often halving or quartering the memory footprint at a small, well-studied cost to task accuracy [1], [2]. For compact models in the one-to-seven-billion-parameter range (the models most likely to run locally), four-bit quantization has become routine.</w:t>
      </w:r>
    </w:p>
    <w:p>
      <w:pPr>
        <w:spacing w:after="160" w:line="360"/>
        <w:jc w:val="both"/>
      </w:pPr>
      <w:r>
        <w:rPr>
          <w:rFonts w:ascii="Times New Roman" w:cs="Times New Roman" w:eastAsia="Times New Roman" w:hAnsi="Times New Roman"/>
          <w:sz w:val="24"/>
          <w:szCs w:val="24"/>
        </w:rPr>
        <w:t xml:space="preserve">Accuracy, however, is not the only property that matters. Instruction-tuned models are also aligned: trained to refuse harmful requests and to answer benign ones. Whether quantization preserves this alignment is far less understood than whether it preserves accuracy, and the stakes are higher, because a locally deployed model runs outside any server-side safety filter. If compressing a model to fit a phone quietly makes it more willing to produce harmful content, that is a deployment-relevant safety regression that current accuracy-centric evaluation would miss.</w:t>
      </w:r>
    </w:p>
    <w:p>
      <w:pPr>
        <w:pStyle w:val="Heading2"/>
        <w:spacing w:after="140" w:before="200"/>
      </w:pPr>
      <w:r>
        <w:rPr>
          <w:rFonts w:ascii="Times New Roman" w:cs="Times New Roman" w:eastAsia="Times New Roman" w:hAnsi="Times New Roman"/>
          <w:b/>
          <w:bCs/>
          <w:sz w:val="27"/>
          <w:szCs w:val="27"/>
        </w:rPr>
        <w:t xml:space="preserve">1.2  Problem statement</w:t>
      </w:r>
    </w:p>
    <w:p>
      <w:pPr>
        <w:spacing w:after="160" w:line="360"/>
        <w:jc w:val="both"/>
      </w:pPr>
      <w:r>
        <w:rPr>
          <w:rFonts w:ascii="Times New Roman" w:cs="Times New Roman" w:eastAsia="Times New Roman" w:hAnsi="Times New Roman"/>
          <w:sz w:val="24"/>
          <w:szCs w:val="24"/>
        </w:rPr>
        <w:t xml:space="preserve">Three difficulties make this question hard to answer credibly. The first is confounding: a quantized model can differ from a full-precision one for reasons that have nothing to do with quantization: a different published checkpoint, different decoding settings, or simply the noise of generation. The second is measurement: harmful compliance is usually scored by pattern-matching for refusals, equating “did not refuse” with “attack succeeded.” Many non-refusals are not actually harmful (vague deflections, safety lectures, on-topic but benign answers), so a refusal-counting scorer can over-state harmful compliance and, worse, do so unevenly across models. The third is the generation budget: the number of tokens a model may generate during evaluation changes the measured attack-success rate drastically (the HarmBench authors show swings of up to 30 percent and standardize the budget to 512 tokens for exactly this reason [3]); a truncated budget scores incomplete answers, and where the cut falls can flip a label in either direction. A study that does not control confounding, scoring validity, and the generation budget cannot distinguish a genuine alignment shift from a capability, scoring, or truncation artefact.</w:t>
      </w:r>
    </w:p>
    <w:p>
      <w:pPr>
        <w:pStyle w:val="Heading2"/>
        <w:spacing w:after="140" w:before="200"/>
      </w:pPr>
      <w:r>
        <w:rPr>
          <w:rFonts w:ascii="Times New Roman" w:cs="Times New Roman" w:eastAsia="Times New Roman" w:hAnsi="Times New Roman"/>
          <w:b/>
          <w:bCs/>
          <w:sz w:val="27"/>
          <w:szCs w:val="27"/>
        </w:rPr>
        <w:t xml:space="preserve">1.3  Research questions</w:t>
      </w:r>
    </w:p>
    <w:p>
      <w:pPr>
        <w:spacing w:after="160" w:line="360"/>
        <w:jc w:val="both"/>
      </w:pPr>
      <w:r>
        <w:rPr>
          <w:rFonts w:ascii="Times New Roman" w:cs="Times New Roman" w:eastAsia="Times New Roman" w:hAnsi="Times New Roman"/>
          <w:sz w:val="24"/>
          <w:szCs w:val="24"/>
        </w:rPr>
        <w:t xml:space="preserve">This interim report is organised around five research questions:</w:t>
      </w:r>
    </w:p>
    <w:p>
      <w:pPr>
        <w:pStyle w:val="ListParagraph"/>
        <w:numPr>
          <w:ilvl w:val="0"/>
          <w:numId w:val="2"/>
        </w:numPr>
        <w:spacing w:after="80" w:line="360"/>
      </w:pPr>
      <w:r>
        <w:rPr>
          <w:rFonts w:ascii="Times New Roman" w:cs="Times New Roman" w:eastAsia="Times New Roman" w:hAnsi="Times New Roman"/>
          <w:sz w:val="24"/>
          <w:szCs w:val="24"/>
        </w:rPr>
        <w:t xml:space="preserve">RQ1: Does quantization increase harmful compliance in compact instruction-tuned LLMs?</w:t>
      </w:r>
    </w:p>
    <w:p>
      <w:pPr>
        <w:pStyle w:val="ListParagraph"/>
        <w:numPr>
          <w:ilvl w:val="0"/>
          <w:numId w:val="2"/>
        </w:numPr>
        <w:spacing w:after="80" w:line="360"/>
      </w:pPr>
      <w:r>
        <w:rPr>
          <w:rFonts w:ascii="Times New Roman" w:cs="Times New Roman" w:eastAsia="Times New Roman" w:hAnsi="Times New Roman"/>
          <w:sz w:val="24"/>
          <w:szCs w:val="24"/>
        </w:rPr>
        <w:t xml:space="preserve">RQ2: Does quantization increase over-refusal on benign prompts?</w:t>
      </w:r>
    </w:p>
    <w:p>
      <w:pPr>
        <w:pStyle w:val="ListParagraph"/>
        <w:numPr>
          <w:ilvl w:val="0"/>
          <w:numId w:val="2"/>
        </w:numPr>
        <w:spacing w:after="80" w:line="360"/>
      </w:pPr>
      <w:r>
        <w:rPr>
          <w:rFonts w:ascii="Times New Roman" w:cs="Times New Roman" w:eastAsia="Times New Roman" w:hAnsi="Times New Roman"/>
          <w:sz w:val="24"/>
          <w:szCs w:val="24"/>
        </w:rPr>
        <w:t xml:space="preserve">RQ3: Does quantization degrade general capability?</w:t>
      </w:r>
    </w:p>
    <w:p>
      <w:pPr>
        <w:pStyle w:val="ListParagraph"/>
        <w:numPr>
          <w:ilvl w:val="0"/>
          <w:numId w:val="2"/>
        </w:numPr>
        <w:spacing w:after="80" w:line="360"/>
      </w:pPr>
      <w:r>
        <w:rPr>
          <w:rFonts w:ascii="Times New Roman" w:cs="Times New Roman" w:eastAsia="Times New Roman" w:hAnsi="Times New Roman"/>
          <w:sz w:val="24"/>
          <w:szCs w:val="24"/>
        </w:rPr>
        <w:t xml:space="preserve">RQ4: Within a family, are smaller models more sensitive than larger ones?</w:t>
      </w:r>
    </w:p>
    <w:p>
      <w:pPr>
        <w:pStyle w:val="ListParagraph"/>
        <w:numPr>
          <w:ilvl w:val="0"/>
          <w:numId w:val="2"/>
        </w:numPr>
        <w:spacing w:after="80" w:line="360"/>
      </w:pPr>
      <w:r>
        <w:rPr>
          <w:rFonts w:ascii="Times New Roman" w:cs="Times New Roman" w:eastAsia="Times New Roman" w:hAnsi="Times New Roman"/>
          <w:sz w:val="24"/>
          <w:szCs w:val="24"/>
        </w:rPr>
        <w:t xml:space="preserve">RQ5: Are the effects consistent across model families and across quantization precisions?</w:t>
      </w:r>
    </w:p>
    <w:p>
      <w:pPr>
        <w:pStyle w:val="Heading2"/>
        <w:spacing w:after="140" w:before="200"/>
      </w:pPr>
      <w:r>
        <w:rPr>
          <w:rFonts w:ascii="Times New Roman" w:cs="Times New Roman" w:eastAsia="Times New Roman" w:hAnsi="Times New Roman"/>
          <w:b/>
          <w:bCs/>
          <w:sz w:val="27"/>
          <w:szCs w:val="27"/>
        </w:rPr>
        <w:t xml:space="preserve">1.4  Contributions</w:t>
      </w:r>
    </w:p>
    <w:p>
      <w:pPr>
        <w:spacing w:after="160" w:line="360"/>
        <w:jc w:val="both"/>
      </w:pPr>
      <w:r>
        <w:rPr>
          <w:rFonts w:ascii="Times New Roman" w:cs="Times New Roman" w:eastAsia="Times New Roman" w:hAnsi="Times New Roman"/>
          <w:sz w:val="24"/>
          <w:szCs w:val="24"/>
        </w:rPr>
        <w:t xml:space="preserve">This interim report makes five contributions, and the first two have consequences beyond this study. One is a scorer-validity result: a refusal-counting scorer systematically over-counts attack success (its harmful set is a near-strict superset of the benchmark classifier’s), and adopting HarmBench’s own classifier, cross-checked by a second independent judge, changes the study’s conclusion. The other is a generation-budget result: the original 128-token budget truncated 60.3 percent of generations and thereby manufactured a statistically significant safety regression that does not exist at HarmBench’s standardized 512-token budget; safety evaluations that truncate generations can report effects that are artefacts of where the cut falls. The third contribution is methodological: a controlled, capability-anchored, judge-validated procedure at the benchmark’s own reference budget that isolates quantization (matched-pair, on-the-fly) and distinguishes genuine alignment shifts from capability degradation. The fourth is empirical: across five matched pairs, four families, three precisions, and two generation budgets, the multiplicity-robust cost of four-bit quantization is capability loss; harmful compliance under direct requests never rises significantly in any pair at the reference budget. The fifth is an engineering one: an open, reproducible, extensible framework (matched-pair loading, a benchmark-plugin contract, a judge-validation layer, cluster orchestration, and a machine claim lock that verifies every reported number against the committed artefacts) that others can reuse for their own quantization-safety studies.</w:t>
      </w:r>
    </w:p>
    <w:p>
      <w:pPr>
        <w:pStyle w:val="Heading2"/>
        <w:spacing w:after="140" w:before="200"/>
      </w:pPr>
      <w:r>
        <w:rPr>
          <w:rFonts w:ascii="Times New Roman" w:cs="Times New Roman" w:eastAsia="Times New Roman" w:hAnsi="Times New Roman"/>
          <w:b/>
          <w:bCs/>
          <w:sz w:val="27"/>
          <w:szCs w:val="27"/>
        </w:rPr>
        <w:t xml:space="preserve">1.5  Report structure</w:t>
      </w:r>
    </w:p>
    <w:p>
      <w:pPr>
        <w:spacing w:after="160" w:line="360"/>
        <w:jc w:val="both"/>
      </w:pPr>
      <w:r>
        <w:rPr>
          <w:rFonts w:ascii="Times New Roman" w:cs="Times New Roman" w:eastAsia="Times New Roman" w:hAnsi="Times New Roman"/>
          <w:sz w:val="24"/>
          <w:szCs w:val="24"/>
        </w:rPr>
        <w:t xml:space="preserve">Chapter 2 surveys related work and isolates the gap. Chapter 3 details the methodology; Chapter 4 the system design; and Chapter 5 the experimental setup. Chapter 6 presents the results at headline depth, including the two corrections made during the project — a scorer-validity correction and a generation-budget re-run — as worked examples of the methodology catching its own artefacts. Chapter 7 discusses threats to validity and Chapter 8 records limitations. Chapter 9 summarises progress to date and the remaining work toward the final thesis, and Chapter 10 concludes. A reproducibility statement and appendices follow.</w:t>
      </w:r>
    </w:p>
    <w:p>
      <w:pPr>
        <w:pStyle w:val="Heading1"/>
        <w:pageBreakBefore/>
        <w:spacing w:after="200"/>
      </w:pPr>
      <w:r>
        <w:rPr>
          <w:rFonts w:ascii="Times New Roman" w:cs="Times New Roman" w:eastAsia="Times New Roman" w:hAnsi="Times New Roman"/>
          <w:b/>
          <w:bCs/>
          <w:sz w:val="32"/>
          <w:szCs w:val="32"/>
        </w:rPr>
        <w:t xml:space="preserve">Chapter 2  Background and Related Work</w:t>
      </w:r>
    </w:p>
    <w:p>
      <w:pPr>
        <w:pStyle w:val="Heading2"/>
        <w:spacing w:after="140" w:before="200"/>
      </w:pPr>
      <w:r>
        <w:rPr>
          <w:rFonts w:ascii="Times New Roman" w:cs="Times New Roman" w:eastAsia="Times New Roman" w:hAnsi="Times New Roman"/>
          <w:b/>
          <w:bCs/>
          <w:sz w:val="27"/>
          <w:szCs w:val="27"/>
        </w:rPr>
        <w:t xml:space="preserve">2.1  Quantization and its behavioural effects</w:t>
      </w:r>
    </w:p>
    <w:p>
      <w:pPr>
        <w:spacing w:after="160" w:line="360"/>
        <w:jc w:val="both"/>
      </w:pPr>
      <w:r>
        <w:rPr>
          <w:rFonts w:ascii="Times New Roman" w:cs="Times New Roman" w:eastAsia="Times New Roman" w:hAnsi="Times New Roman"/>
          <w:sz w:val="24"/>
          <w:szCs w:val="24"/>
        </w:rPr>
        <w:t xml:space="preserve">Post-training quantization compresses model weights to lower-precision formats. The bitsandbytes library provides two widely used schemes evaluated here: NF4, a four-bit “normal-float” format with double quantization [2], and LLM.int8(), an eight-bit mixed-precision scheme that keeps outlier dimensions in higher precision [1]. While the accuracy cost of these methods is well characterised, their effect on safety behaviour is contested. Empirical studies report mixed and method-dependent results: some find that quantization can degrade safety alignment, with effects that vary by method and attack type [4], [5]; a comprehensive multi-benchmark evaluation finds headline scores largely retained at four bits while cautioning that narrow evaluations can miss shifts on other behavioural dimensions [6]; and some show that quantization can be actively exploited to surface unsafe behaviour [7]. Closest to this report’s headline, Hong et al. [8] scrutinise trustworthiness across five compression methods and eight trust dimensions and find that four-bit quantization broadly preserves trustworthiness — unlike pruning, which degrades it, and unlike more extreme three-bit compression, where erosion appears — the nearest prior analogue to the null-safety-at-four-bit picture found here, though their study covers larger models and a different trust taxonomy. This very inconsistency motivates a controlled, matched-pair design rather than cross-paper comparison, and it cautions against strong, uniform claims.</w:t>
      </w:r>
    </w:p>
    <w:p>
      <w:pPr>
        <w:pStyle w:val="Heading2"/>
        <w:spacing w:after="140" w:before="200"/>
      </w:pPr>
      <w:r>
        <w:rPr>
          <w:rFonts w:ascii="Times New Roman" w:cs="Times New Roman" w:eastAsia="Times New Roman" w:hAnsi="Times New Roman"/>
          <w:b/>
          <w:bCs/>
          <w:sz w:val="27"/>
          <w:szCs w:val="27"/>
        </w:rPr>
        <w:t xml:space="preserve">2.2  Safety benchmarks and red-teaming</w:t>
      </w:r>
    </w:p>
    <w:p>
      <w:pPr>
        <w:spacing w:after="160" w:line="360"/>
        <w:jc w:val="both"/>
      </w:pPr>
      <w:r>
        <w:rPr>
          <w:rFonts w:ascii="Times New Roman" w:cs="Times New Roman" w:eastAsia="Times New Roman" w:hAnsi="Times New Roman"/>
          <w:sz w:val="24"/>
          <w:szCs w:val="24"/>
        </w:rPr>
        <w:t xml:space="preserve">HarmBench [3] provides a standardised red-teaming benchmark with an explicit behaviour taxonomy and a fine-tuned classifier that scores whether a response actually exhibits the harmful behaviour, a deliberate move away from refusal-string matching. XSTest [9] measures the opposite failure mode, over-refusal on benign prompts. Holistic frameworks such as HELM [10] formalise the idea that evaluation should be multi-metric and transparent. This interim report adopts HarmBench’s classifier-as-scorer principle [3] as its primary instrument and treats refusal-matching only as a foil. One scope boundary is stated at the outset: HarmBench is a red-teaming framework whose full pipeline applies optimisation-based and LLM-mediated attacks; this study evaluates its standard harmful behaviours presented directly, with no attack augmentation, so its safety axis measures harmful compliance under direct requests, the weakest threat model in the HarmBench taxonomy.</w:t>
      </w:r>
    </w:p>
    <w:p>
      <w:pPr>
        <w:pStyle w:val="Heading2"/>
        <w:spacing w:after="140" w:before="200"/>
      </w:pPr>
      <w:r>
        <w:rPr>
          <w:rFonts w:ascii="Times New Roman" w:cs="Times New Roman" w:eastAsia="Times New Roman" w:hAnsi="Times New Roman"/>
          <w:b/>
          <w:bCs/>
          <w:sz w:val="27"/>
          <w:szCs w:val="27"/>
        </w:rPr>
        <w:t xml:space="preserve">2.3  LLM-as-judge evaluation and its validity</w:t>
      </w:r>
    </w:p>
    <w:p>
      <w:pPr>
        <w:spacing w:after="160" w:line="360"/>
        <w:jc w:val="both"/>
      </w:pPr>
      <w:r>
        <w:rPr>
          <w:rFonts w:ascii="Times New Roman" w:cs="Times New Roman" w:eastAsia="Times New Roman" w:hAnsi="Times New Roman"/>
          <w:sz w:val="24"/>
          <w:szCs w:val="24"/>
        </w:rPr>
        <w:t xml:space="preserve">Using one model to judge another’s output is now common, but its validity is an active concern. Surveys of LLM-as-judge methods catalogue the approach’s validity threats and mitigations [11], and critical studies show that judge scores can diverge systematically from human judgment, so judge-based results need validation and, ideally, human grounding [12]. This interim report follows that guidance (a primary classifier, a second independent judge, κ reporting, bootstrap confidence intervals) and adds a human-label validation on a stratified 200-item subset — a single-annotator gold set that was, until now, the one safeguard it lacked.</w:t>
      </w:r>
    </w:p>
    <w:p>
      <w:pPr>
        <w:pStyle w:val="Heading2"/>
        <w:spacing w:after="140" w:before="200"/>
      </w:pPr>
      <w:r>
        <w:rPr>
          <w:rFonts w:ascii="Times New Roman" w:cs="Times New Roman" w:eastAsia="Times New Roman" w:hAnsi="Times New Roman"/>
          <w:b/>
          <w:bCs/>
          <w:sz w:val="27"/>
          <w:szCs w:val="27"/>
        </w:rPr>
        <w:t xml:space="preserve">2.4  The research gap</w:t>
      </w:r>
    </w:p>
    <w:p>
      <w:pPr>
        <w:spacing w:after="160" w:line="360"/>
        <w:jc w:val="both"/>
      </w:pPr>
      <w:r>
        <w:rPr>
          <w:rFonts w:ascii="Times New Roman" w:cs="Times New Roman" w:eastAsia="Times New Roman" w:hAnsi="Times New Roman"/>
          <w:sz w:val="24"/>
          <w:szCs w:val="24"/>
        </w:rPr>
        <w:t xml:space="preserve">Three observations define the gap this interim report addresses. First, the quantization–safety literature reports inconsistent, method- and model-dependent effects [4]–[5], so cross-paper comparison cannot settle whether quantization shifts safety; a controlled, matched-pair design that isolates quantization is required. Second, harmful compliance is frequently scored by refusal-matching rather than by a validated classifier, so a reported “attack success” may be a scoring artefact, and where LLM judges are used, the judge literature cautions that their reliability must itself be evaluated rather than assumed [11], [12], yet the benchmark’s own fine-tuned classifier exists precisely to avoid this [3]. Third, studies that do measure quantization rarely separate a safety change from a capability change, almost none trace the effect across more than one precision or quantization method, and almost none evaluate at the benchmark’s own standardized generation budget, even though the measured attack-success rate depends drastically on it [3].</w:t>
      </w:r>
    </w:p>
    <w:p>
      <w:pPr>
        <w:spacing w:after="160" w:line="360"/>
        <w:jc w:val="both"/>
      </w:pPr>
      <w:r>
        <w:rPr>
          <w:rFonts w:ascii="Times New Roman" w:cs="Times New Roman" w:eastAsia="Times New Roman" w:hAnsi="Times New Roman"/>
          <w:sz w:val="24"/>
          <w:szCs w:val="24"/>
        </w:rPr>
        <w:t xml:space="preserve">No prior study, to the author’s knowledge, combines all four of the following on compact models across several families: (i) a matched-pair design that isolates quantization as the sole variable; (ii) a judge-validated primary scorer with an independent second judge and reported chance-corrected agreement; (iii) a capability anchor that separates alignment shifts from capability degradation; and (iv) a multi-precision sweep (fp16 → INT8 → NF4) that tests whether any effect is graded with bit-width or specific to a method. That combination is the gap this interim report fills, and each component directly answers one of the weaknesses identified above.</w:t>
      </w:r>
    </w:p>
    <w:p>
      <w:pPr>
        <w:pStyle w:val="Heading1"/>
        <w:pageBreakBefore/>
        <w:spacing w:after="200"/>
      </w:pPr>
      <w:r>
        <w:rPr>
          <w:rFonts w:ascii="Times New Roman" w:cs="Times New Roman" w:eastAsia="Times New Roman" w:hAnsi="Times New Roman"/>
          <w:b/>
          <w:bCs/>
          <w:sz w:val="32"/>
          <w:szCs w:val="32"/>
        </w:rPr>
        <w:t xml:space="preserve">Chapter 3  Methodology</w:t>
      </w:r>
    </w:p>
    <w:p>
      <w:pPr>
        <w:pStyle w:val="Heading2"/>
        <w:spacing w:after="140" w:before="200"/>
      </w:pPr>
      <w:r>
        <w:rPr>
          <w:rFonts w:ascii="Times New Roman" w:cs="Times New Roman" w:eastAsia="Times New Roman" w:hAnsi="Times New Roman"/>
          <w:b/>
          <w:bCs/>
          <w:sz w:val="27"/>
          <w:szCs w:val="27"/>
        </w:rPr>
        <w:t xml:space="preserve">3.1  Matched-pair design</w:t>
      </w:r>
    </w:p>
    <w:p>
      <w:pPr>
        <w:spacing w:after="160" w:line="360"/>
        <w:jc w:val="both"/>
      </w:pPr>
      <w:r>
        <w:rPr>
          <w:rFonts w:ascii="Times New Roman" w:cs="Times New Roman" w:eastAsia="Times New Roman" w:hAnsi="Times New Roman"/>
          <w:sz w:val="24"/>
          <w:szCs w:val="24"/>
        </w:rPr>
        <w:t xml:space="preserve">The central design choice is the matched pair. For each model, a baseline (fp16) member and a quantized member are loaded from the same underlying weights; the only difference is that the quantized member applies bitsandbytes quantization on the fly at load time. This eliminates publisher- and pipeline-asymmetry as confounds and isolates quantization as the sole experimental variable: any measured delta is attributable to the quantization step, the act of loading the same checkpoint twice, or measurement noise, and nothing else.</w:t>
      </w:r>
    </w:p>
    <w:p>
      <w:pPr>
        <w:spacing w:after="160" w:line="360"/>
        <w:jc w:val="both"/>
      </w:pPr>
      <w:r>
        <w:rPr>
          <w:rFonts w:ascii="Times New Roman" w:cs="Times New Roman" w:eastAsia="Times New Roman" w:hAnsi="Times New Roman"/>
          <w:sz w:val="24"/>
          <w:szCs w:val="24"/>
        </w:rPr>
        <w:t xml:space="preserve">Table 3.1 lists the five pairs. They span four families and roughly 1.7 to 7.2 billion parameters, providing both within-family scale contrasts (the two Qwen models) and cross-family generality.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3760"/>
        <w:gridCol w:w="2000"/>
      </w:tblGrid>
      <w:tr>
        <w:trPr>
          <w:tblHeader/>
        </w:trPr>
        <w:tc>
          <w:tcPr>
            <w:tcW w:type="dxa" w:w="1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Pair</w:t>
            </w:r>
          </w:p>
        </w:tc>
        <w:tc>
          <w:tcPr>
            <w:tcW w:type="dxa" w:w="1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Family</w:t>
            </w:r>
          </w:p>
        </w:tc>
        <w:tc>
          <w:tcPr>
            <w:tcW w:type="dxa" w:w="37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Model</w:t>
            </w:r>
          </w:p>
        </w:tc>
        <w:tc>
          <w:tcPr>
            <w:tcW w:type="dxa" w:w="2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Size (B)</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qwen_2b</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Qwen3-1.7B</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1.7</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qwen_4b</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Qwen3-4B</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4.0</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llama_3_2_3b</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Llama-3.2-3B-Instruct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3.2</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mistral_7b</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Mistral-7B-Instruct-v0.3</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7.2</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phi4_mini</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Phi-4-mini-instruct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3.8</w:t>
            </w:r>
          </w:p>
        </w:tc>
      </w:tr>
    </w:tbl>
    <w:p>
      <w:pPr>
        <w:spacing w:after="200" w:before="60"/>
        <w:jc w:val="center"/>
      </w:pPr>
      <w:r>
        <w:rPr>
          <w:rFonts w:ascii="Times New Roman" w:cs="Times New Roman" w:eastAsia="Times New Roman" w:hAnsi="Times New Roman"/>
          <w:i/>
          <w:iCs/>
          <w:sz w:val="20"/>
          <w:szCs w:val="20"/>
        </w:rPr>
        <w:t xml:space="preserve">Table 3.1  Model pairs, families, and parameter scales.</w:t>
      </w:r>
    </w:p>
    <w:p>
      <w:pPr>
        <w:spacing w:after="60" w:before="140"/>
        <w:jc w:val="center"/>
      </w:pPr>
      <w:r>
        <w:drawing>
          <wp:inline distT="0" distB="0" distL="0" distR="0">
            <wp:extent cx="49530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9909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 Study design. Five matched model pairs spanning four families are evaluated at fp16 and NF4 four-bit, with an INT8 precision point as a third level, across four benchmarks. Both members of a pair share the same checkpoint and pinned revision, the same prompts, the same seed and the same decoding settings, so numerical precision is the only difference between them. Every pair-level contrast passes through the same paired-inference pipeline before it is labelled.</w:t>
      </w:r>
    </w:p>
    <w:p>
      <w:pPr>
        <w:pStyle w:val="Heading2"/>
        <w:spacing w:after="140" w:before="200"/>
      </w:pPr>
      <w:r>
        <w:rPr>
          <w:rFonts w:ascii="Times New Roman" w:cs="Times New Roman" w:eastAsia="Times New Roman" w:hAnsi="Times New Roman"/>
          <w:b/>
          <w:bCs/>
          <w:sz w:val="27"/>
          <w:szCs w:val="27"/>
        </w:rPr>
        <w:t xml:space="preserve">3.2  Quantization methods and the precision sweep</w:t>
      </w:r>
    </w:p>
    <w:p>
      <w:pPr>
        <w:spacing w:after="160" w:line="360"/>
        <w:jc w:val="both"/>
      </w:pPr>
      <w:r>
        <w:rPr>
          <w:rFonts w:ascii="Times New Roman" w:cs="Times New Roman" w:eastAsia="Times New Roman" w:hAnsi="Times New Roman"/>
          <w:sz w:val="24"/>
          <w:szCs w:val="24"/>
        </w:rPr>
        <w:t xml:space="preserve">The main study compares fp16 against NF4 four-bit quantization. A separate precision point adds INT8 (LLM.int8), so each pair can be traced across fp16 → INT8 → NF4. INT8 is a distinct mixed-precision method, not a lower-bit NF4; treating it as a separate precision dimension lets the study ask whether degradation is graded with bit-width or concentrated at a particular method. To keep the evaluated main study untouched, the INT8 members live in a separate configuration and are analysed by a dedicated precision-sweep script rather than entering the base-versus-4bit pairwise pipeline.</w:t>
      </w:r>
    </w:p>
    <w:p>
      <w:pPr>
        <w:pStyle w:val="Heading2"/>
        <w:spacing w:after="140" w:before="200"/>
      </w:pPr>
      <w:r>
        <w:rPr>
          <w:rFonts w:ascii="Times New Roman" w:cs="Times New Roman" w:eastAsia="Times New Roman" w:hAnsi="Times New Roman"/>
          <w:b/>
          <w:bCs/>
          <w:sz w:val="27"/>
          <w:szCs w:val="27"/>
        </w:rPr>
        <w:t xml:space="preserve">3.3  Benchmarks and metrics</w:t>
      </w:r>
    </w:p>
    <w:p>
      <w:pPr>
        <w:spacing w:after="160" w:line="360"/>
        <w:jc w:val="both"/>
      </w:pPr>
      <w:r>
        <w:rPr>
          <w:rFonts w:ascii="Times New Roman" w:cs="Times New Roman" w:eastAsia="Times New Roman" w:hAnsi="Times New Roman"/>
          <w:sz w:val="24"/>
          <w:szCs w:val="24"/>
        </w:rPr>
        <w:t xml:space="preserve">Four benchmarks span the two axes of interest. Harmful compliance (HarmBench [3]) and over-refusal (XSTest [9]) capture safety; MMLU [13] and ARC-Challenge [14] capture capability, using two independent benchmarks so that capability claims do not rest on a single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2600"/>
        <w:gridCol w:w="1800"/>
      </w:tblGrid>
      <w:tr>
        <w:trPr>
          <w:tblHeader/>
        </w:trPr>
        <w:tc>
          <w:tcPr>
            <w:tcW w:type="dxa" w:w="2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Benchmark</w:t>
            </w:r>
          </w:p>
        </w:tc>
        <w:tc>
          <w:tcPr>
            <w:tcW w:type="dxa" w:w="25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Axis</w:t>
            </w:r>
          </w:p>
        </w:tc>
        <w:tc>
          <w:tcPr>
            <w:tcW w:type="dxa" w:w="2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Primary metric</w:t>
            </w:r>
          </w:p>
        </w:tc>
        <w:tc>
          <w:tcPr>
            <w:tcW w:type="dxa" w:w="1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n</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HarmBench</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Harmful compliance</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Attack Success Rate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200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XSTest</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Over-refusal</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Over-refusal rate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250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MMLU (subset)</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Capability</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Accuracy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300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ARC-Challenge</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Capability</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Accuracy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1172</w:t>
            </w:r>
          </w:p>
        </w:tc>
      </w:tr>
    </w:tbl>
    <w:p>
      <w:pPr>
        <w:spacing w:after="200" w:before="60"/>
        <w:jc w:val="center"/>
      </w:pPr>
      <w:r>
        <w:rPr>
          <w:rFonts w:ascii="Times New Roman" w:cs="Times New Roman" w:eastAsia="Times New Roman" w:hAnsi="Times New Roman"/>
          <w:i/>
          <w:iCs/>
          <w:sz w:val="20"/>
          <w:szCs w:val="20"/>
        </w:rPr>
        <w:t xml:space="preserve">Table 3.2  Benchmarks, primary metrics, and sample budgets.</w:t>
      </w:r>
    </w:p>
    <w:p>
      <w:pPr>
        <w:spacing w:after="160" w:line="360"/>
        <w:jc w:val="both"/>
      </w:pPr>
      <w:r>
        <w:rPr>
          <w:rFonts w:ascii="Times New Roman" w:cs="Times New Roman" w:eastAsia="Times New Roman" w:hAnsi="Times New Roman"/>
          <w:sz w:val="24"/>
          <w:szCs w:val="24"/>
        </w:rPr>
        <w:t xml:space="preserve">A threat-model boundary applies to the safety axis. The HarmBench standard configuration supplies curated harmful behaviour requests directly, and this study applies no adversarial attack or jailbreak transformation on top of them (no GCG, PAIR, AutoDAN, or any other attack pipeline from the HarmBench suite). Attack Success Rate in this interim report therefore measures harmful compliance under direct requests, equivalent to HarmBench’s DirectRequest baseline and the weakest threat model in its taxonomy, not robustness to optimised adversarial attack. Attack-augmented evaluation is future work (Chapter 9).</w:t>
      </w:r>
    </w:p>
    <w:p>
      <w:pPr>
        <w:pStyle w:val="Heading2"/>
        <w:spacing w:after="140" w:before="200"/>
      </w:pPr>
      <w:r>
        <w:rPr>
          <w:rFonts w:ascii="Times New Roman" w:cs="Times New Roman" w:eastAsia="Times New Roman" w:hAnsi="Times New Roman"/>
          <w:b/>
          <w:bCs/>
          <w:sz w:val="27"/>
          <w:szCs w:val="27"/>
        </w:rPr>
        <w:t xml:space="preserve">3.4  Scoring: classifier-primary, regex-as-foil</w:t>
      </w:r>
    </w:p>
    <w:p>
      <w:pPr>
        <w:spacing w:after="160" w:line="360"/>
        <w:jc w:val="both"/>
      </w:pPr>
      <w:r>
        <w:rPr>
          <w:rFonts w:ascii="Times New Roman" w:cs="Times New Roman" w:eastAsia="Times New Roman" w:hAnsi="Times New Roman"/>
          <w:sz w:val="24"/>
          <w:szCs w:val="24"/>
        </w:rPr>
        <w:t xml:space="preserve">HarmBench Attack Success Rate is scored by the official HarmBench classifier (cais/HarmBench-Llama-2-13b-cls) [3] — prompted with the Hugging Face model-card template rather than the GitHub evaluation-harness variant, so absolute ASR levels are not directly harness-comparable while matched-pair deltas are unaffected — run in full precision so that the reference instrument is not itself confounded by quantization. A second, architecturally independent judge (GPT-4o; run 2026-06-14 — the API alias’s dated snapshot was not recorded, so the revision-pinned open-weight LlamaGuard third judge is the reproducible arm) re-scores the same generations as a robustness check [11], [12]. A deterministic refusal regex is retained only as a secondary, transparent proxy. This choice is itself a research object: this report reports the agreement between scorers and shows that the regex over-counts, which is why it is demoted. MMLU and ARC use deterministic exact match; XSTest over-refusal uses the regex (the HarmBench classifier judges harmful compliance only).</w:t>
      </w:r>
    </w:p>
    <w:p>
      <w:pPr>
        <w:pStyle w:val="Heading2"/>
        <w:spacing w:after="140" w:before="200"/>
      </w:pPr>
      <w:r>
        <w:rPr>
          <w:rFonts w:ascii="Times New Roman" w:cs="Times New Roman" w:eastAsia="Times New Roman" w:hAnsi="Times New Roman"/>
          <w:b/>
          <w:bCs/>
          <w:sz w:val="27"/>
          <w:szCs w:val="27"/>
        </w:rPr>
        <w:t xml:space="preserve">3.5  Capability-anchored interpretation</w:t>
      </w:r>
    </w:p>
    <w:p>
      <w:pPr>
        <w:spacing w:after="160" w:line="360"/>
        <w:jc w:val="both"/>
      </w:pPr>
      <w:r>
        <w:rPr>
          <w:rFonts w:ascii="Times New Roman" w:cs="Times New Roman" w:eastAsia="Times New Roman" w:hAnsi="Times New Roman"/>
          <w:sz w:val="24"/>
          <w:szCs w:val="24"/>
        </w:rPr>
        <w:t xml:space="preserve">A rule-based interpretation layer combines the safety and capability deltas into a single diagnostic label, so that a rise in harmful compliance accompanied by a capability drop is not mistaken for a pure alignment shift, and vice versa. Table 3.3 lists the labels. The anchor is what licenses reading a safety move as alignment rather than capability artefact: if capability is preserved, a safety move is a candidate alignment shift; if capability collapses, an apparent safety “improvement” may merely be the model becoming less coherent.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Label</w:t>
            </w:r>
          </w:p>
        </w:tc>
        <w:tc>
          <w:tcPr>
            <w:tcW w:type="dxa" w:w="51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Reading</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broad_degradation</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Worsens on both safety and capability axes.</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alignment_degradation</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Safety worsens, capability preserved (candidate alignment shift).</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alignment_improvement</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Harmful compliance falls, capability preserved.</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capability_collapse_masquerading_as_safety</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Apparent safety gain driven by capability loss.</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over_refusal_regression</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Over-refusal rises, capability preserved.</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robust_preservation</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No material change on any axis.</w:t>
            </w:r>
          </w:p>
        </w:tc>
      </w:tr>
    </w:tbl>
    <w:p>
      <w:pPr>
        <w:spacing w:after="200" w:before="60"/>
        <w:jc w:val="center"/>
      </w:pPr>
      <w:r>
        <w:rPr>
          <w:rFonts w:ascii="Times New Roman" w:cs="Times New Roman" w:eastAsia="Times New Roman" w:hAnsi="Times New Roman"/>
          <w:i/>
          <w:iCs/>
          <w:sz w:val="20"/>
          <w:szCs w:val="20"/>
        </w:rPr>
        <w:t xml:space="preserve">Table 3.3  Interpretation labels derived from combined deltas.</w:t>
      </w:r>
    </w:p>
    <w:p>
      <w:pPr>
        <w:pStyle w:val="Heading2"/>
        <w:spacing w:after="140" w:before="200"/>
      </w:pPr>
      <w:r>
        <w:rPr>
          <w:rFonts w:ascii="Times New Roman" w:cs="Times New Roman" w:eastAsia="Times New Roman" w:hAnsi="Times New Roman"/>
          <w:b/>
          <w:bCs/>
          <w:sz w:val="27"/>
          <w:szCs w:val="27"/>
        </w:rPr>
        <w:t xml:space="preserve">3.6  Decoding controls and statistics</w:t>
      </w:r>
    </w:p>
    <w:p>
      <w:pPr>
        <w:spacing w:after="160" w:line="360"/>
        <w:jc w:val="both"/>
      </w:pPr>
      <w:r>
        <w:rPr>
          <w:rFonts w:ascii="Times New Roman" w:cs="Times New Roman" w:eastAsia="Times New Roman" w:hAnsi="Times New Roman"/>
          <w:sz w:val="24"/>
          <w:szCs w:val="24"/>
        </w:rPr>
        <w:t xml:space="preserve">All inference uses greedy decoding at temperature 0.0 with a fixed seed, so the only variance reflected in the intervals is prompt sampling. Generation uses HarmBench’s standardized 512-token evaluation budget as the primary configuration: the HarmBench authors show the number of tokens generated during evaluation can change the measured attack-success rate by up to 30 percent and standardize the parameter to N = 512 for exactly that reason [3]. An initial 128-token run is retained, unchanged, as a controlled generation-length comparison (§6.3). Deltas carry paired-bootstrap 95% confidence intervals [15] (2,000 resamples, seed 42), resampled by prompt identity so that both members of a pair see the same prompts in the same order. Every HarmBench contrast is tested with McNemar’s exact paired test [16]; significance is reported both uncorrected and under a Benjamini-Hochberg false-discovery-rate correction [17] over the twenty-contrast primary family; a power analysis (Connor’s normal-approximation treatment of the paired McNemar design [18]) reports the minimum detectable effect (about 0.04–0.09 per pair at n = 200); and a multi-seed sensitivity arm (temperature 0.7, five seeds, all five pairs) estimates generation-level variance.</w:t>
      </w:r>
    </w:p>
    <w:p>
      <w:pPr>
        <w:pStyle w:val="Heading1"/>
        <w:pageBreakBefore/>
        <w:spacing w:after="200"/>
      </w:pPr>
      <w:r>
        <w:rPr>
          <w:rFonts w:ascii="Times New Roman" w:cs="Times New Roman" w:eastAsia="Times New Roman" w:hAnsi="Times New Roman"/>
          <w:b/>
          <w:bCs/>
          <w:sz w:val="32"/>
          <w:szCs w:val="32"/>
        </w:rPr>
        <w:t xml:space="preserve">Chapter 4  System Design and Implementation</w:t>
      </w:r>
    </w:p>
    <w:p>
      <w:pPr>
        <w:pStyle w:val="Heading2"/>
        <w:spacing w:after="140" w:before="200"/>
      </w:pPr>
      <w:r>
        <w:rPr>
          <w:rFonts w:ascii="Times New Roman" w:cs="Times New Roman" w:eastAsia="Times New Roman" w:hAnsi="Times New Roman"/>
          <w:b/>
          <w:bCs/>
          <w:sz w:val="27"/>
          <w:szCs w:val="27"/>
        </w:rPr>
        <w:t xml:space="preserve">4.1  Architecture</w:t>
      </w:r>
    </w:p>
    <w:p>
      <w:pPr>
        <w:spacing w:after="160" w:line="360"/>
        <w:jc w:val="both"/>
      </w:pPr>
      <w:r>
        <w:rPr>
          <w:rFonts w:ascii="Times New Roman" w:cs="Times New Roman" w:eastAsia="Times New Roman" w:hAnsi="Times New Roman"/>
          <w:sz w:val="24"/>
          <w:szCs w:val="24"/>
        </w:rPr>
        <w:t xml:space="preserve">The framework is a Python package organised around plugins and configuration. A YAML configuration, validated by a Pydantic schema, declares the models, decoding settings, benchmarks, and cluster parameters. A model loader resolves dtype and device and applies quantization on the fly; a shared text generator batches prompts through the model using the tokenizer’s chat template; benchmark plugins implement a common contract for loading items, building prompts, scoring responses, and aggregating metrics; and an analysis layer computes pairwise deltas, confidence intervals, and interpretation labels.</w:t>
      </w:r>
    </w:p>
    <w:p>
      <w:pPr>
        <w:spacing w:after="60" w:before="140"/>
        <w:jc w:val="center"/>
      </w:pPr>
      <w:r>
        <w:drawing>
          <wp:inline distT="0" distB="0" distL="0" distR="0">
            <wp:extent cx="4953000" cy="538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53816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 System architecture. A YAML configuration is validated by the Pydantic schema into a typed run specification; each model alias is then loaded once and quantization is applied on the fly at load time, so both pair members derive from identical baseline weights. Benchmark plugins share one abstract interface and hand responses to a per-benchmark scorer stack in which the primary and secondary scorers are named explicitly. All artifacts are written before any analysis runs, and raw.jsonl is never modified afterwards.</w:t>
      </w:r>
    </w:p>
    <w:p>
      <w:pPr>
        <w:pStyle w:val="Heading2"/>
        <w:spacing w:after="140" w:before="200"/>
      </w:pPr>
      <w:r>
        <w:rPr>
          <w:rFonts w:ascii="Times New Roman" w:cs="Times New Roman" w:eastAsia="Times New Roman" w:hAnsi="Times New Roman"/>
          <w:b/>
          <w:bCs/>
          <w:sz w:val="27"/>
          <w:szCs w:val="27"/>
        </w:rPr>
        <w:t xml:space="preserve">4.2  Extensibility and the plugin contract</w:t>
      </w:r>
    </w:p>
    <w:p>
      <w:pPr>
        <w:spacing w:after="160" w:line="360"/>
        <w:jc w:val="both"/>
      </w:pPr>
      <w:r>
        <w:rPr>
          <w:rFonts w:ascii="Times New Roman" w:cs="Times New Roman" w:eastAsia="Times New Roman" w:hAnsi="Times New Roman"/>
          <w:sz w:val="24"/>
          <w:szCs w:val="24"/>
        </w:rPr>
        <w:t xml:space="preserve">Adding a model requires only a configuration entry; adding a benchmark requires implementing four methods (load, build prompt, score, aggregate) and registering one line; adding a quantization method extends the loader’s method branch. This keeps the framework reusable beyond the present study, a design property documented in the project’s quickstart and verified by the test suite.</w:t>
      </w:r>
    </w:p>
    <w:p>
      <w:pPr>
        <w:pStyle w:val="Heading2"/>
        <w:spacing w:after="140" w:before="200"/>
      </w:pPr>
      <w:r>
        <w:rPr>
          <w:rFonts w:ascii="Times New Roman" w:cs="Times New Roman" w:eastAsia="Times New Roman" w:hAnsi="Times New Roman"/>
          <w:b/>
          <w:bCs/>
          <w:sz w:val="27"/>
          <w:szCs w:val="27"/>
        </w:rPr>
        <w:t xml:space="preserve">4.3  Reliability safeguards</w:t>
      </w:r>
    </w:p>
    <w:p>
      <w:pPr>
        <w:spacing w:after="160" w:line="360"/>
        <w:jc w:val="both"/>
      </w:pPr>
      <w:r>
        <w:rPr>
          <w:rFonts w:ascii="Times New Roman" w:cs="Times New Roman" w:eastAsia="Times New Roman" w:hAnsi="Times New Roman"/>
          <w:sz w:val="24"/>
          <w:szCs w:val="24"/>
        </w:rPr>
        <w:t xml:space="preserve">Several safeguards protect result integrity. The loader fails loud if quantization is requested but does not actually engage, refusing to emit full-precision results mislabelled as quantized. Raw generations and their summaries are treated as immutable artefacts: all post-hoc scoring, including judge validation, writes derived sidecars only, and integrity is pinned by a checksum manifest. Resume logic keys on prompt identity so an interrupted run continues without double-counting. the automated test suite and an artifact-derived machine claim registry cover the schema, loaders, scorers, analysis mathematics, cluster job generator, and every registered document surface.</w:t>
      </w:r>
    </w:p>
    <w:p>
      <w:pPr>
        <w:pStyle w:val="Heading2"/>
        <w:spacing w:after="140" w:before="200"/>
      </w:pPr>
      <w:r>
        <w:rPr>
          <w:rFonts w:ascii="Times New Roman" w:cs="Times New Roman" w:eastAsia="Times New Roman" w:hAnsi="Times New Roman"/>
          <w:b/>
          <w:bCs/>
          <w:sz w:val="27"/>
          <w:szCs w:val="27"/>
        </w:rPr>
        <w:t xml:space="preserve">4.4  Privacy discipline</w:t>
      </w:r>
    </w:p>
    <w:p>
      <w:pPr>
        <w:spacing w:after="160" w:line="360"/>
        <w:jc w:val="both"/>
      </w:pPr>
      <w:r>
        <w:rPr>
          <w:rFonts w:ascii="Times New Roman" w:cs="Times New Roman" w:eastAsia="Times New Roman" w:hAnsi="Times New Roman"/>
          <w:sz w:val="24"/>
          <w:szCs w:val="24"/>
        </w:rPr>
        <w:t xml:space="preserve">Because the study handles harmful prompts and responses, committed artefacts are redacted: prompt identifiers, boolean labels, scalar scores, and run metadata only, never prompt or response text. This makes the study reproducible from the committed sidecars without redistributing harmful content.</w:t>
      </w:r>
    </w:p>
    <w:p>
      <w:pPr>
        <w:pStyle w:val="Heading1"/>
        <w:pageBreakBefore/>
        <w:spacing w:after="200"/>
      </w:pPr>
      <w:r>
        <w:rPr>
          <w:rFonts w:ascii="Times New Roman" w:cs="Times New Roman" w:eastAsia="Times New Roman" w:hAnsi="Times New Roman"/>
          <w:b/>
          <w:bCs/>
          <w:sz w:val="32"/>
          <w:szCs w:val="32"/>
        </w:rPr>
        <w:t xml:space="preserve">Chapter 5  Experimental Setup</w:t>
      </w:r>
    </w:p>
    <w:p>
      <w:pPr>
        <w:spacing w:after="160" w:line="360"/>
        <w:jc w:val="both"/>
      </w:pPr>
      <w:r>
        <w:rPr>
          <w:rFonts w:ascii="Times New Roman" w:cs="Times New Roman" w:eastAsia="Times New Roman" w:hAnsi="Times New Roman"/>
          <w:sz w:val="24"/>
          <w:szCs w:val="24"/>
        </w:rPr>
        <w:t xml:space="preserve">All experiments ran on the NTU TC1 GPU cluster (NVIDIA Tesla V100, 32 GB) under a strict offline, batch-submission policy: datasets and weights are pre-cached on the head node, and all compute is dispatched via SLURM. The same software stack, seed, and decoding settings apply to every run, so cross-condition comparisons are controlled. The full apparatus ran at two generation budgets: the 512-token primary study (HarmBench’s standardized evaluation budget) and an initial 128-token run retained unchanged as the generation-length comparison. Table 5.1 summarises the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Parameter</w:t>
            </w:r>
          </w:p>
        </w:tc>
        <w:tc>
          <w:tcPr>
            <w:tcW w:type="dxa" w:w="57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Value</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Pairs / models / families</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5 / 10 / 4</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Precisions</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fp16, INT8 (LLM.int8), NF4 (4-bit)</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Benchmarks</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HarmBench, XSTest, MMLU, ARC-Challenge</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Threat model</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direct requests (HarmBench standard config; no attack augmentation)</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Decoding</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greedy, temperature 0.0, seed 42, max_new_tokens 512 (primary; 128 retained as comparison)</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Primary HarmBench scorer</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official HarmBench classifier (fp16)</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Second judge</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GPT-4o (architecturally independent)</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Third judge</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Llama-Guard-3-8B (open-weight, revision-pinned)</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Statistics</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paired bootstrap 95% CI (2000 resamples) + McNemar exact + BH-FDR</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Hardware</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NVIDIA Tesla V100-32GB (TC1)</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Verification</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automated test suite + artifact-derived claim registry</w:t>
            </w:r>
          </w:p>
        </w:tc>
      </w:tr>
    </w:tbl>
    <w:p>
      <w:pPr>
        <w:spacing w:after="200" w:before="60"/>
        <w:jc w:val="center"/>
      </w:pPr>
      <w:r>
        <w:rPr>
          <w:rFonts w:ascii="Times New Roman" w:cs="Times New Roman" w:eastAsia="Times New Roman" w:hAnsi="Times New Roman"/>
          <w:i/>
          <w:iCs/>
          <w:sz w:val="20"/>
          <w:szCs w:val="20"/>
        </w:rPr>
        <w:t xml:space="preserve">Table 5.1  Experimental configuration summary.</w:t>
      </w:r>
    </w:p>
    <w:p>
      <w:pPr>
        <w:spacing w:after="160" w:line="360"/>
        <w:jc w:val="both"/>
      </w:pPr>
      <w:r>
        <w:rPr>
          <w:rFonts w:ascii="Times New Roman" w:cs="Times New Roman" w:eastAsia="Times New Roman" w:hAnsi="Times New Roman"/>
          <w:sz w:val="24"/>
          <w:szCs w:val="24"/>
        </w:rPr>
        <w:t xml:space="preserve">The five NF4 pairs, the INT8 precision point, both judge validations, and the multi-seed sensitivity arm all ran at the 512-token reference budget (the primary study throughout, with zero classifier parse errors over 3,000 judged generations); the 128-token artefacts are retained unchanged for the generation-length comparison. The GPT-4o second judge runs locally against an API. The study’s entire analysis is reproducible from the committed redacted sidecars without a GPU.</w:t>
      </w:r>
    </w:p>
    <w:p>
      <w:pPr>
        <w:spacing w:after="60" w:before="140"/>
        <w:jc w:val="center"/>
      </w:pPr>
      <w:r>
        <w:drawing>
          <wp:inline distT="0" distB="0" distL="0" distR="0">
            <wp:extent cx="4953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4194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 Execution model on the TC1 cluster. The head node is restricted to repository synchronisation, dataset and weight pre-caching, and job submission: no user code runs there. All computation runs in offline batch jobs inside the QoS envelope, and every analysis, figure and document build happens off-cluster on the workstation, which needs no GPU.</w:t>
      </w:r>
    </w:p>
    <w:p>
      <w:pPr>
        <w:pStyle w:val="Heading1"/>
        <w:pageBreakBefore/>
        <w:spacing w:after="200"/>
      </w:pPr>
      <w:r>
        <w:rPr>
          <w:rFonts w:ascii="Times New Roman" w:cs="Times New Roman" w:eastAsia="Times New Roman" w:hAnsi="Times New Roman"/>
          <w:b/>
          <w:bCs/>
          <w:sz w:val="32"/>
          <w:szCs w:val="32"/>
        </w:rPr>
        <w:t xml:space="preserve">Chapter 6  Results and Analysis</w:t>
      </w:r>
    </w:p>
    <w:p>
      <w:pPr>
        <w:pStyle w:val="Heading2"/>
        <w:spacing w:after="140" w:before="200"/>
      </w:pPr>
      <w:r>
        <w:rPr>
          <w:rFonts w:ascii="Times New Roman" w:cs="Times New Roman" w:eastAsia="Times New Roman" w:hAnsi="Times New Roman"/>
          <w:b/>
          <w:bCs/>
          <w:sz w:val="27"/>
          <w:szCs w:val="27"/>
        </w:rPr>
        <w:t xml:space="preserve">6.1  Scoring validity: the regex over-counts</w:t>
      </w:r>
    </w:p>
    <w:p>
      <w:pPr>
        <w:spacing w:after="160" w:line="360"/>
        <w:jc w:val="both"/>
      </w:pPr>
      <w:r>
        <w:rPr>
          <w:rFonts w:ascii="Times New Roman" w:cs="Times New Roman" w:eastAsia="Times New Roman" w:hAnsi="Times New Roman"/>
          <w:sz w:val="24"/>
          <w:szCs w:val="24"/>
        </w:rPr>
        <w:t xml:space="preserve">The first result concerns the instrument. The refusal regex reports far higher Attack Success Rates than the HarmBench classifier, and the gap is uneven by family. Cohen’s κ [19] between the regex and the classifier at the 512-token reference budget is fair-to-moderate for the Qwen and Mistral models and substantial or better for Llama and Phi (verbal bands per Landis and Koch [20]) (Table 6.1), because models that produce a large volume of ambiguous, non-refusing-but-benign text are exactly those the regex mis-scores. In aggregate the classifier’s harmful set is a near-strict subset of the regex’s (28 judge-only labels against 325 regex-only across the ten models), so the disagreement is overwhelmingly one-directional over-counting. At the retired 128-token budget, adopting the classifier had moved the significant increases wholesale: the regex placed them on Qwen3-4B and Mistral, the classifier on Qwen3-1.7B alone. At the reference budget it removes every significant increase entirely (§6.2). A stratified human-label audit (200 items, single annotator) confirms the direction against truth rather than against another model: the classifier agrees with a human annotator at Cohen’s κ 0.59 (moderate) while the regex agrees at only 0.11 (slight) — against the human’s 200 labels the regex over-flagged 101 responses as harmful to the classifier’s 18, and the human, flagging 37, applied the highest bar of the three — so refusal-counting over-states harmful compliance relative to human judgment, not merely relative to the classifier; the classifier is a better scorer, though at moderate agreement, not a perfect human proxy. In safety evaluation the choice of scorer is not a detail: it can change the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660"/>
        <w:gridCol w:w="3800"/>
      </w:tblGrid>
      <w:tr>
        <w:trPr>
          <w:tblHeader/>
        </w:trPr>
        <w:tc>
          <w:tcPr>
            <w:tcW w:type="dxa" w:w="1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Family</w:t>
            </w:r>
          </w:p>
        </w:tc>
        <w:tc>
          <w:tcPr>
            <w:tcW w:type="dxa" w:w="36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Cohen’s κ (regex vs classifier)</w:t>
            </w:r>
          </w:p>
        </w:tc>
        <w:tc>
          <w:tcPr>
            <w:tcW w:type="dxa" w:w="3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Reading</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0.36 – 0.59</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fair to moderate; regex over-counts heavily (0.595 vs judge 0.255, 1.7B base)</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0.25 – 0.29</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fair, the lowest; regex 0.890 vs judge 0.565 (4-bit)</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0.71 – 0.84</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substantial to almost perfect; little ambiguous middle ground</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0.67 – 0.77</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substantial; like Llama</w:t>
            </w:r>
          </w:p>
        </w:tc>
      </w:tr>
    </w:tbl>
    <w:p>
      <w:pPr>
        <w:spacing w:after="200" w:before="60"/>
        <w:jc w:val="center"/>
      </w:pPr>
      <w:r>
        <w:rPr>
          <w:rFonts w:ascii="Times New Roman" w:cs="Times New Roman" w:eastAsia="Times New Roman" w:hAnsi="Times New Roman"/>
          <w:i/>
          <w:iCs/>
          <w:sz w:val="20"/>
          <w:szCs w:val="20"/>
        </w:rPr>
        <w:t xml:space="preserve">Table 6.1  Judge-versus-regex agreement (Cohen’s κ) by model family (fp16-vs-NF4 main study, 512-token reference budget).</w:t>
      </w:r>
    </w:p>
    <w:p>
      <w:pPr>
        <w:spacing w:after="60" w:before="140"/>
        <w:jc w:val="center"/>
      </w:pPr>
      <w:r>
        <w:drawing>
          <wp:inline distT="0" distB="0" distL="0" distR="0">
            <wp:extent cx="4953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2574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4. Scorer validation. Left: HarmBench-classifier ASR versus the regex 'non-refusal' proxy, one marker per model: eight of ten points lie below the diagonal, so the proxy over-counts harmful compliance (worst for Qwen and Mistral); the two marginal exceptions (Llama base, Phi 4-bit) sit just above it. Right: judge-vs-proxy Cohen’s κ per model, family-dependent. Source: results_512/analysis/judge_agreement.json.</w:t>
      </w:r>
    </w:p>
    <w:p>
      <w:pPr>
        <w:pStyle w:val="Heading2"/>
        <w:spacing w:after="140" w:before="200"/>
      </w:pPr>
      <w:r>
        <w:rPr>
          <w:rFonts w:ascii="Times New Roman" w:cs="Times New Roman" w:eastAsia="Times New Roman" w:hAnsi="Times New Roman"/>
          <w:b/>
          <w:bCs/>
          <w:sz w:val="27"/>
          <w:szCs w:val="27"/>
        </w:rPr>
        <w:t xml:space="preserve">6.2  Main study (fp16 vs NF4) at the reference budget</w:t>
      </w:r>
    </w:p>
    <w:p>
      <w:pPr>
        <w:spacing w:after="160" w:line="360"/>
        <w:jc w:val="both"/>
      </w:pPr>
      <w:r>
        <w:rPr>
          <w:rFonts w:ascii="Times New Roman" w:cs="Times New Roman" w:eastAsia="Times New Roman" w:hAnsi="Times New Roman"/>
          <w:sz w:val="24"/>
          <w:szCs w:val="24"/>
        </w:rPr>
        <w:t xml:space="preserve">Under the primary classifier at the 512-token reference budget, no pair shows a significant increase in harmful compliance under NF4 quantization. The only ΔASR whose confidence interval excludes zero is Llama-3.2-3B’s, and it is a decrease (−0.040, CI [−0.075, −0.010]; McNemar p = 0.021); it does not survive the multiplicity correction (§6.7). Table 6.2 reports the per-pair deltas and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700"/>
        <w:gridCol w:w="1320"/>
        <w:gridCol w:w="1240"/>
        <w:gridCol w:w="1900"/>
      </w:tblGrid>
      <w:tr>
        <w:trPr>
          <w:tblHeader/>
        </w:trPr>
        <w:tc>
          <w:tcPr>
            <w:tcW w:type="dxa" w:w="1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Pair</w:t>
            </w:r>
          </w:p>
        </w:tc>
        <w:tc>
          <w:tcPr>
            <w:tcW w:type="dxa" w:w="2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ΔASR (95% CI)</w:t>
            </w:r>
          </w:p>
        </w:tc>
        <w:tc>
          <w:tcPr>
            <w:tcW w:type="dxa" w:w="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Sig?</w:t>
            </w:r>
          </w:p>
        </w:tc>
        <w:tc>
          <w:tcPr>
            <w:tcW w:type="dxa" w:w="132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ΔMMLU</w:t>
            </w:r>
          </w:p>
        </w:tc>
        <w:tc>
          <w:tcPr>
            <w:tcW w:type="dxa" w:w="12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ΔARC</w:t>
            </w:r>
          </w:p>
        </w:tc>
        <w:tc>
          <w:tcPr>
            <w:tcW w:type="dxa" w:w="1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Label</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qwen_2b</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0.000 [−0.055, +0.055]</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no</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−0.090*</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−0.009</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broad_degradation (capability-driven)</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qwen_4b</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+0.040 [0.000, +0.080]</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no</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−0.003</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−0.016*</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alignment_degradation (dir.)</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llama_3_2_3b</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−0.040 [−0.075, −0.010]</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yes†</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−0.037</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−0.032*</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capability_collapse_masq._as_safety (dir.)</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mistral_7b</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−0.020 [−0.080, +0.040]</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no</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−0.020</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+0.009</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alignment_improvement (dir.)</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phi4_mini</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+0.020 [−0.015, +0.055]</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no</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−0.027</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−0.015</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alignment_degradation (dir.)</w:t>
            </w:r>
          </w:p>
        </w:tc>
      </w:tr>
    </w:tbl>
    <w:p>
      <w:pPr>
        <w:spacing w:after="200" w:before="60"/>
        <w:jc w:val="center"/>
      </w:pPr>
      <w:r>
        <w:rPr>
          <w:rFonts w:ascii="Times New Roman" w:cs="Times New Roman" w:eastAsia="Times New Roman" w:hAnsi="Times New Roman"/>
          <w:i/>
          <w:iCs/>
          <w:sz w:val="20"/>
          <w:szCs w:val="20"/>
        </w:rPr>
        <w:t xml:space="preserve">Table 6.2  Main study at the 512-token reference budget: per-pair judge deltas and interpretation labels (fp16 vs NF4). * capability delta significant. † individually significant (a decrease) but does not survive BH-FDR.</w:t>
      </w:r>
    </w:p>
    <w:p>
      <w:pPr>
        <w:spacing w:after="160" w:line="360"/>
        <w:jc w:val="both"/>
      </w:pPr>
      <w:r>
        <w:rPr>
          <w:rFonts w:ascii="Times New Roman" w:cs="Times New Roman" w:eastAsia="Times New Roman" w:hAnsi="Times New Roman"/>
          <w:sz w:val="24"/>
          <w:szCs w:val="24"/>
        </w:rPr>
        <w:t xml:space="preserve">Exactly 3 primary contrasts survive BH-FDR: Qwen3-1.7B MMLU (−0.090, q = 0.008), Llama-3.2-3B ARC (−0.032, q = 0.008), Phi-4-mini over-refusal (−0.048, q = 0.012). No HarmBench ASR contrast survives.</w:t>
      </w:r>
    </w:p>
    <w:p>
      <w:pPr>
        <w:spacing w:after="60" w:before="140"/>
        <w:jc w:val="center"/>
      </w:pPr>
      <w:r>
        <w:drawing>
          <wp:inline distT="0" distB="0" distL="0" distR="0">
            <wp:extent cx="49530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9624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5. The capability-anchored safety space at the reference budget. Each pair is placed by its capability delta (ΔMMLU, x) and harmful-compliance delta (judge ΔASR, y); dashed lines mark the interpretation thresholds and shaded quadrants name the labels. Bars are paired-bootstrap 95% CIs. Source: results_512/analysis/{judge_agreement,pairwise_deltas}.json.</w:t>
      </w:r>
    </w:p>
    <w:p>
      <w:pPr>
        <w:spacing w:after="160" w:line="360"/>
        <w:jc w:val="both"/>
      </w:pPr>
      <w:r>
        <w:rPr>
          <w:rFonts w:ascii="Times New Roman" w:cs="Times New Roman" w:eastAsia="Times New Roman" w:hAnsi="Times New Roman"/>
          <w:sz w:val="24"/>
          <w:szCs w:val="24"/>
        </w:rPr>
        <w:t xml:space="preserve">Over-refusal moves in the benign direction where it moves at all: the only over-refusal delta significant under the exact paired test is Phi-4-mini’s decrease (ΔOR = −0.048, CI [−0.076, −0.020]; regex-scored and scorer-dependent — an independent three-class refusal judge does not reproduce it, and a completed blinded human audit now weights that judge over the regex, so the decrease is most plausibly a regex measurement artifact, §7.2), and Qwen3-1.7B’s decrease is non-significant on both criteria at the corrected over-refusal scoring (−0.024, CI [−0.048, 0.000], McNemar p = 0.109). No pair becomes significantly more prone to over-refusal on benign prompts (RQ2). The Qwen3-1.7B pair, whose +0.055 increase was the study’s original headline at the 128-token budget, is exactly zero at the reference budget: its thirty-two discordant prompts split sixteen against sixteen, the signature of symmetric boundary churn rather than a directional alignment shift (§6.5).</w:t>
      </w:r>
    </w:p>
    <w:p>
      <w:pPr>
        <w:pStyle w:val="Heading2"/>
        <w:spacing w:after="140" w:before="200"/>
      </w:pPr>
      <w:r>
        <w:rPr>
          <w:rFonts w:ascii="Times New Roman" w:cs="Times New Roman" w:eastAsia="Times New Roman" w:hAnsi="Times New Roman"/>
          <w:b/>
          <w:bCs/>
          <w:sz w:val="27"/>
          <w:szCs w:val="27"/>
        </w:rPr>
        <w:t xml:space="preserve">6.3  The generation-budget artefact (why 512 tokens is the primary budget)</w:t>
      </w:r>
    </w:p>
    <w:p>
      <w:pPr>
        <w:spacing w:after="160" w:line="360"/>
        <w:jc w:val="both"/>
      </w:pPr>
      <w:r>
        <w:rPr>
          <w:rFonts w:ascii="Times New Roman" w:cs="Times New Roman" w:eastAsia="Times New Roman" w:hAnsi="Times New Roman"/>
          <w:sz w:val="24"/>
          <w:szCs w:val="24"/>
        </w:rPr>
        <w:t xml:space="preserve">The 128-token budget of the study’s first run truncated the majority of generations before completion: a direct prefix test shows 60.3 percent of the 2,000 paired responses were provably cut off (the 512-token generation continues past the point where the 128-token one stops), 30.5 percent stop naturally, and 9.2 percent diverge between the two nominally greedy runs (benign cross-run non-determinism, conservatively excluded, which makes 60.3 percent a floor). Truncation is family-heterogeneous (93.5–98.0 percent for Mistral, 3.0–4.0 percent for Llama), so the mechanism is family-specific even though the conclusion is not. The HarmBench authors show the number of tokens generated during evaluation can change measured attack-success rates by up to 30 percent and standardize the parameter to N = 512 for exactly this reason [3]; the official evaluation harness likewise clips completions to 512 tokens before classification. Re-running the full apparatus at that budget dissolves the apparent safety regression: Qwen3-1.7B’s ΔASR goes from +0.055 (then significant, McNemar p = 0.027) at 128 tokens to exactly 0.000 under the classifier (p = 1.000) at 512, with the second judge at +0.005 (also p = 1.000). A five-seed stochastic-decoding arm at the reference budget corroborates the null (per-seed ΔASR mean +0.013, range [0.000, +0.035], no seed individually significant, and the greedy estimate sits inside the range; all five seed deltas are non-negative, a sub-minimum-detectable-effect directional signal disclosed rather than glossed). The arm has since been extended to all five pairs and corroborates the null in each: no pair shows a sign-consistent majority of individually significant seeds (Qwen3-4B mean +0.029, 1 of 5 seeds significant; Llama −0.024, 2 of 5, both decreases; Mistral +0.012, 0 of 5; Phi −0.012, 1 of 5), and the greedy estimate sits inside the seed range for the three original pairs while falling marginally outside it with a sign flip for Mistral (greedy −0.020) and Phi (greedy +0.020) — small, zero-straddling, sign-unstable gaps (at most 0.04) rather than a stochastic effect the greedy run missed, and one Phi seed is itself individually significant at −0.055 (McNemar p = 0.043, a decrease and 1 of 5, so it does not lift the pair-level reading). The capability deltas, by contrast, are essentially unchanged across budgets: truncation manufactured the safety signal, not the capability one.</w:t>
      </w:r>
    </w:p>
    <w:p>
      <w:pPr>
        <w:pStyle w:val="Heading2"/>
        <w:spacing w:after="140" w:before="200"/>
      </w:pPr>
      <w:r>
        <w:rPr>
          <w:rFonts w:ascii="Times New Roman" w:cs="Times New Roman" w:eastAsia="Times New Roman" w:hAnsi="Times New Roman"/>
          <w:b/>
          <w:bCs/>
          <w:sz w:val="27"/>
          <w:szCs w:val="27"/>
        </w:rPr>
        <w:t xml:space="preserve">6.4  Capability anchoring (RQ3)</w:t>
      </w:r>
    </w:p>
    <w:p>
      <w:pPr>
        <w:spacing w:after="160" w:line="360"/>
        <w:jc w:val="both"/>
      </w:pPr>
      <w:r>
        <w:rPr>
          <w:rFonts w:ascii="Times New Roman" w:cs="Times New Roman" w:eastAsia="Times New Roman" w:hAnsi="Times New Roman"/>
          <w:sz w:val="24"/>
          <w:szCs w:val="24"/>
        </w:rPr>
        <w:t xml:space="preserve">Every pair’s capability point estimates are non-positive under NF4 at the reference budget, with one negligible exception (Mistral’s +0.9 percentage points on ARC, not significant). The loss is significant for Qwen3-1.7B on MMLU (−0.090, the study’s largest single effect), for Llama-3B on ARC (−0.032), and for Qwen3-4B on ARC (−0.016). The two capability benchmarks diverge informatively: Qwen3-1.7B’s large MMLU drop does not replicate on ARC (−0.009, not significant), so the dramatic within-Qwen scale gap is partly MMLU-specific. The capability anchor is what allows the safety deltas to be read correctly: the smallest Qwen pair is a capability story with a flat harm axis, and Llama’s harm decrease arrives together with its capability loss, which is why it is labelled capability collapse masquerading as safety rather than alignment improvement.</w:t>
      </w:r>
    </w:p>
    <w:p>
      <w:pPr>
        <w:pStyle w:val="Heading2"/>
        <w:spacing w:after="140" w:before="200"/>
      </w:pPr>
      <w:r>
        <w:rPr>
          <w:rFonts w:ascii="Times New Roman" w:cs="Times New Roman" w:eastAsia="Times New Roman" w:hAnsi="Times New Roman"/>
          <w:b/>
          <w:bCs/>
          <w:sz w:val="27"/>
          <w:szCs w:val="27"/>
        </w:rPr>
        <w:t xml:space="preserve">6.5  Mechanism: refusal-margin geometry</w:t>
      </w:r>
    </w:p>
    <w:p>
      <w:pPr>
        <w:spacing w:after="160" w:line="360"/>
        <w:jc w:val="both"/>
      </w:pPr>
      <w:r>
        <w:rPr>
          <w:rFonts w:ascii="Times New Roman" w:cs="Times New Roman" w:eastAsia="Times New Roman" w:hAnsi="Times New Roman"/>
          <w:sz w:val="24"/>
          <w:szCs w:val="24"/>
        </w:rPr>
        <w:t xml:space="preserve">To probe the boundary behaviour behind the 128-token signal, a derived analysis measured each model’s first-token refusal margin in fp16 and under NF4, following the observation that quantization most affects low-confidence, near-boundary decisions [21]. A thin baseline margin does predict which prompts flip, but only weakly within a family, and the flips are symmetric: quantization destabilises the decision boundary in both directions rather than eroding refusals one-directionally. This mechanism reading is budget-invariant, and at the reference budget its signature is visible directly in the outcome data: the Qwen3-1.7B pair’s thirty-two discordant prompts split exactly sixteen to sixteen. The change is more consistent with generic capability-driven boundary instability than a targeted alignment shift, reinforcing the capability-anchored reading.</w:t>
      </w:r>
    </w:p>
    <w:p>
      <w:pPr>
        <w:pStyle w:val="Heading2"/>
        <w:spacing w:after="140" w:before="200"/>
      </w:pPr>
      <w:r>
        <w:rPr>
          <w:rFonts w:ascii="Times New Roman" w:cs="Times New Roman" w:eastAsia="Times New Roman" w:hAnsi="Times New Roman"/>
          <w:b/>
          <w:bCs/>
          <w:sz w:val="27"/>
          <w:szCs w:val="27"/>
        </w:rPr>
        <w:t xml:space="preserve">6.6  Precision point: fp16 → INT8 → NF4 (RQ5)</w:t>
      </w:r>
    </w:p>
    <w:p>
      <w:pPr>
        <w:spacing w:after="160" w:line="360"/>
        <w:jc w:val="both"/>
      </w:pPr>
      <w:r>
        <w:rPr>
          <w:rFonts w:ascii="Times New Roman" w:cs="Times New Roman" w:eastAsia="Times New Roman" w:hAnsi="Times New Roman"/>
          <w:sz w:val="24"/>
          <w:szCs w:val="24"/>
        </w:rPr>
        <w:t xml:space="preserve">Adding INT8 shows the effect is not a smooth function of bit-width. On capability the result is a clean cliff at four-bit: every INT8 MMLU and ARC point estimate sits within about 1.3 percentage points of fp16 — paired per-item McNemar contrasts, none significant — far below the multiplicity-robust NF4 losses of three to nine points, while the significant capability losses are all at NF4. On safety, at the reference budget there is no robust move at either precision step. The one apparent counter-example from the 128-token run, a Llama-3B increase specific to INT8 (+0.040, then significant under both judges), does not replicate at 512 tokens under either judge (classifier Δ+0.005, McNemar p = 1.000; GPT-4o Δ+0.010, p = 0.688): it was a 128-era budget artefact — attributable, since Llama truncates at only 3–4 percent (§6.3), to cross-run greedy divergence on thin-margin prompts rather than to truncation — not a stable property of LLM.int8 on this model. Table 6.3 shows the sweep.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100"/>
        <w:gridCol w:w="1100"/>
        <w:gridCol w:w="4360"/>
      </w:tblGrid>
      <w:tr>
        <w:trPr>
          <w:tblHeader/>
        </w:trPr>
        <w:tc>
          <w:tcPr>
            <w:tcW w:type="dxa" w:w="1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Pair</w:t>
            </w:r>
          </w:p>
        </w:tc>
        <w:tc>
          <w:tcPr>
            <w:tcW w:type="dxa" w:w="1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fp16</w:t>
            </w:r>
          </w:p>
        </w:tc>
        <w:tc>
          <w:tcPr>
            <w:tcW w:type="dxa" w:w="1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INT8</w:t>
            </w:r>
          </w:p>
        </w:tc>
        <w:tc>
          <w:tcPr>
            <w:tcW w:type="dxa" w:w="1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NF4</w:t>
            </w:r>
          </w:p>
        </w:tc>
        <w:tc>
          <w:tcPr>
            <w:tcW w:type="dxa" w:w="43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Shape (judge ASR)</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qwen_2b</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0.255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0.245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0.255</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flat; the capability cliff is at NF4</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qwen_4b</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0.115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0.125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0.155</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small graded drift, n.s. at each step</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llama_3_2_3b</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0.100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0.105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0.060</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flat at INT8; decrease at NF4 (individually sig)</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mistral_7b</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0.585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0.565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0.565</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small decrease, n.s.</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phi4_mini</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0.070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0.090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0.090</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small increase, n.s.</w:t>
            </w:r>
          </w:p>
        </w:tc>
      </w:tr>
    </w:tbl>
    <w:p>
      <w:pPr>
        <w:spacing w:after="200" w:before="60"/>
        <w:jc w:val="center"/>
      </w:pPr>
      <w:r>
        <w:rPr>
          <w:rFonts w:ascii="Times New Roman" w:cs="Times New Roman" w:eastAsia="Times New Roman" w:hAnsi="Times New Roman"/>
          <w:i/>
          <w:iCs/>
          <w:sz w:val="20"/>
          <w:szCs w:val="20"/>
        </w:rPr>
        <w:t xml:space="preserve">Table 6.3  Precision sweep: HarmBench ASR at fp16 / INT8 / NF4 (primary judge, 512-token reference budget).</w:t>
      </w:r>
    </w:p>
    <w:p>
      <w:pPr>
        <w:spacing w:after="60" w:before="140"/>
        <w:jc w:val="center"/>
      </w:pPr>
      <w:r>
        <w:drawing>
          <wp:inline distT="0" distB="0" distL="0" distR="0">
            <wp:extent cx="4953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19812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6. Precision sweep fp16 → INT8 → NF4 at the reference budget. Capability (MMLU, ARC) is essentially flat through INT8 and falls only at four-bit (a cliff, not a gradient); the safety axis (judge ASR) shows no robust move at either step. Source: results_512/analysis/precision_sweep.json.</w:t>
      </w:r>
    </w:p>
    <w:p>
      <w:pPr>
        <w:pStyle w:val="Heading2"/>
        <w:spacing w:after="140" w:before="200"/>
      </w:pPr>
      <w:r>
        <w:rPr>
          <w:rFonts w:ascii="Times New Roman" w:cs="Times New Roman" w:eastAsia="Times New Roman" w:hAnsi="Times New Roman"/>
          <w:b/>
          <w:bCs/>
          <w:sz w:val="27"/>
          <w:szCs w:val="27"/>
        </w:rPr>
        <w:t xml:space="preserve">6.7  Statistical robustness: multiplicity, power, and what survives</w:t>
      </w:r>
    </w:p>
    <w:p>
      <w:pPr>
        <w:spacing w:after="160" w:line="360"/>
        <w:jc w:val="both"/>
      </w:pPr>
      <w:r>
        <w:rPr>
          <w:rFonts w:ascii="Times New Roman" w:cs="Times New Roman" w:eastAsia="Times New Roman" w:hAnsi="Times New Roman"/>
          <w:sz w:val="24"/>
          <w:szCs w:val="24"/>
        </w:rPr>
        <w:t xml:space="preserve">With 200 HarmBench prompts the confidence intervals are wide (about ±0.05), and a power analysis [18] makes the detection floor explicit: at n = 200 and the observed discordant rates, the minimum detectable ΔASR for 80 percent power is about 0.06 for a representative pair (the per-pair values span 0.04–0.09). The predominance of nulls on the safety axis is therefore a power-bounded null (“no detectable change at n = 200”), not a proven zero, and the multi-seed sign-consistency for the smallest pair (§6.3) is compatible with a real effect below that floor.</w:t>
      </w:r>
    </w:p>
    <w:p>
      <w:pPr>
        <w:spacing w:after="160" w:line="360"/>
        <w:jc w:val="both"/>
      </w:pPr>
      <w:r>
        <w:rPr>
          <w:rFonts w:ascii="Times New Roman" w:cs="Times New Roman" w:eastAsia="Times New Roman" w:hAnsi="Times New Roman"/>
          <w:sz w:val="24"/>
          <w:szCs w:val="24"/>
        </w:rPr>
        <w:t xml:space="preserve">Applying a Benjamini-Hochberg false-discovery-rate correction (q &lt; 0.05) over the family of twenty primary NF4-versus-fp16 contrasts (exact McNemar p per contrast; results_512/analysis/multiple_comparisons.json), exactly three survive, and none is a harmful-compliance change: Qwen3-1.7B MMLU (−0.090, q = 0.008), Llama-3B ARC (−0.032, q = 0.008), and Phi-4-mini over-refusal (−0.048, q = 0.012, a decrease — regex-scored and scorer-dependent; an independent refusal judge does not reproduce it, §7.2). Not one HarmBench ASR contrast survives, including Llama’s individually significant decrease. The multiplicity-robust signal of four-bit NF4 is therefore capability degradation, plus one benign-direction over-refusal change, and never a safety regression. This is the study’s headline empirical claim. A validation-informed parallel correction — the identical twenty-contrast family with the five over-refusal contrasts scored by the independent judge under its strict mapping, composition locked in a dated note before computation (docs/VALIDATION_INFORMED_FAMILY_NOTE.md; results_512/analysis/multiple_comparisons_judge_strict.json) — leaves two contrasts surviving, both capability effects (Qwen3-1.7B MMLU, q = 0.008; Llama-3B ARC, q = 0.008); it is purely deflationary, and the registered regex-scored family above remains the family of record.</w:t>
      </w:r>
    </w:p>
    <w:p>
      <w:pPr>
        <w:pStyle w:val="Heading1"/>
        <w:pageBreakBefore/>
        <w:spacing w:after="200"/>
      </w:pPr>
      <w:r>
        <w:rPr>
          <w:rFonts w:ascii="Times New Roman" w:cs="Times New Roman" w:eastAsia="Times New Roman" w:hAnsi="Times New Roman"/>
          <w:b/>
          <w:bCs/>
          <w:sz w:val="32"/>
          <w:szCs w:val="32"/>
        </w:rPr>
        <w:t xml:space="preserve">Chapter 7  Discussion and Threats to Validity</w:t>
      </w:r>
    </w:p>
    <w:p>
      <w:pPr>
        <w:spacing w:after="160" w:line="360"/>
        <w:jc w:val="both"/>
      </w:pPr>
      <w:r>
        <w:rPr>
          <w:rFonts w:ascii="Times New Roman" w:cs="Times New Roman" w:eastAsia="Times New Roman" w:hAnsi="Times New Roman"/>
          <w:sz w:val="24"/>
          <w:szCs w:val="24"/>
        </w:rPr>
        <w:t xml:space="preserve">The results answer the research questions with calibrated, not sweeping, claims. At the reference budget NF4 does not significantly increase harmful compliance under direct requests in any pair (RQ1); no scorer finds a statistically significant over-refusal increase in any pair, and the only exact-test-significant over-refusal change is a regex-scored decrease (RQ2); capability loss is real, modest, partly benchmark-specific, and the only class of effect that robustly survives multiplicity correction, the one over-refusal survivor being scorer-dependent (RQ3); the smallest model is the most capability-sensitive but shows no genuine safety shift once truncation is controlled (RQ4); and the cross-family, cross-precision picture is a consistent power-bounded null on safety with a capability cliff at four-bit (RQ5). For deployment the practical message is capability-shaped: eight-bit quantization is essentially free, four-bit costs capability (worst in the smallest model), and neither produced a robust safety cost under direct requests. Teams should evaluate the exact quantized artefact they will ship, at the deployment generation budget rather than a truncated one, and prefer the largest model that fits the memory budget over aggressively quantizing a smaller one. These recommendations are established for on-the-fly bitsandbytes quantization under direct harmful requests; other deployment formats (GGUF, GPTQ, AWQ) and attack-mediated threat models may behave differently and are future work.</w:t>
      </w:r>
    </w:p>
    <w:p>
      <w:pPr>
        <w:pStyle w:val="Heading2"/>
        <w:spacing w:after="140" w:before="200"/>
      </w:pPr>
      <w:r>
        <w:rPr>
          <w:rFonts w:ascii="Times New Roman" w:cs="Times New Roman" w:eastAsia="Times New Roman" w:hAnsi="Times New Roman"/>
          <w:b/>
          <w:bCs/>
          <w:sz w:val="27"/>
          <w:szCs w:val="27"/>
        </w:rPr>
        <w:t xml:space="preserve">7.1  Internal validity</w:t>
      </w:r>
    </w:p>
    <w:p>
      <w:pPr>
        <w:spacing w:after="160" w:line="360"/>
        <w:jc w:val="both"/>
      </w:pPr>
      <w:r>
        <w:rPr>
          <w:rFonts w:ascii="Times New Roman" w:cs="Times New Roman" w:eastAsia="Times New Roman" w:hAnsi="Times New Roman"/>
          <w:sz w:val="24"/>
          <w:szCs w:val="24"/>
        </w:rPr>
        <w:t xml:space="preserve">Internal validity is the design’s strongest property: the matched-pair structure with on-the-fly quantization from identical weights, plus deterministic decoding and deterministic or judge-validated scoring, leaves quantization as the only plausible cause of a measured delta. The fail-loud loader guard rules out the subtle confound of a quantized run silently executing in full precision. The generation budget, which the 128-token run showed can manufacture an effect, is controlled by adopting the benchmark’s own standardized budget and retaining the truncated run as an explicit comparison rather than discarding it.</w:t>
      </w:r>
    </w:p>
    <w:p>
      <w:pPr>
        <w:pStyle w:val="Heading2"/>
        <w:spacing w:after="140" w:before="200"/>
      </w:pPr>
      <w:r>
        <w:rPr>
          <w:rFonts w:ascii="Times New Roman" w:cs="Times New Roman" w:eastAsia="Times New Roman" w:hAnsi="Times New Roman"/>
          <w:b/>
          <w:bCs/>
          <w:sz w:val="27"/>
          <w:szCs w:val="27"/>
        </w:rPr>
        <w:t xml:space="preserve">7.2  Construct validity</w:t>
      </w:r>
    </w:p>
    <w:p>
      <w:pPr>
        <w:spacing w:after="160" w:line="360"/>
        <w:jc w:val="both"/>
      </w:pPr>
      <w:r>
        <w:rPr>
          <w:rFonts w:ascii="Times New Roman" w:cs="Times New Roman" w:eastAsia="Times New Roman" w:hAnsi="Times New Roman"/>
          <w:sz w:val="24"/>
          <w:szCs w:val="24"/>
        </w:rPr>
        <w:t xml:space="preserve">The primary safety construct is scored by the benchmark’s own fine-tuned classifier rather than refusal matching, and the cross-judge agreement (Cohen’s κ 0.68–0.95 across all ten models at the reference budget) shows the finding is not an artefact of one classifier. A stratified human-label audit (200 items, single annotator — the author — HarmBench rubric) now grounds this against truth: the classifier agrees with the human at Cohen’s κ 0.59 versus the regex’s 0.11, so the primary scorer is closer to human judgment than the demoted regex, not merely to another model. Two sampling caveats scope those figures symmetrically: the subset deliberately over-weights judge-vs-regex disagreement cases (roughly three times their population rate), so the κ values are a disagreement-enriched contrast rather than a population estimate; and the annotation view was capped at the first 2,000 characters of each response while the scorers saw the full text, which plausibly inflates measured disagreement, though the direction is not strictly identified, since a harmful-looking prefix followed by a benign completion cuts the other way. The residual is honestly bounded — κ 0.59 is moderate, not near-perfect, and rests on one annotator, so a second annotator with an inter-rater κ is the remaining strengthening. Over-refusal remains regex-scored, a known weaker construct: XSTest’s own protocol relies on LLM-based three-way labelling (full compliance / partial refusal / full refusal) rather than a released fine-tuned classifier, whereas this study deliberately substitutes a deterministic binary refusal regex — a reproducibility-motivated deviation that yields a coarser refusal / non-refusal reading — so the single over-refusal contrast that survives multiplicity correction (Phi-4-mini’s −0.048 decrease) is a reproducible non-refusal-rate change rather than a classifier-validated over-refusal shift. Run as a sensitivity check, an independent gpt-4o three-class refusal judge (XSTest’s own full-compliance / partial-refusal / full-refusal taxonomy) re-scored all 3,750 saved benign responses with zero parse failures, the regex kept primary, and did not reproduce that decrease: the direction reverses to ΔOR +0.016 under a strict full-refusal reading (McNemar p = 0.597) and sits at −0.004 under a broad partial-or-full reading (p = 1.000), both non-significant, and the two scorers disagree substantially (the judge counts about four times more refusals, mean over-refusal 0.171 strict versus regex 0.044; per-alias Cohen’s κ −0.01 to 0.50). The −0.048 survivor is therefore scorer-dependent, and a completed 200-item blinded human audit (single annotator, disagreement-enriched draw, a mechanical Outcome J carried with one disclosed protocol deviation, pre-registration §8) resolves the weighting: the judge aligns substantially better with the annotator than the regex on this construct (strict κ 0.485 versus −0.006; the regex recovered only 2 of the annotator’s 63 full refusals), so the contrast is carried as most plausibly a measurement artifact of the regex scorer, with the regex retained as the original pre-specified scorer-of-record and a second annotator the residual strengthening. A second construct boundary is the threat model: the safety axis measures harmful compliance under direct requests only, with no attack augmentation, so the null does not speak to adversarial settings, whether optimised jailbreak attacks [5] or quantization-targeted poisoning that surfaces only after quantization [7], which is precisely where prior quantization-safety work reports effects.</w:t>
      </w:r>
    </w:p>
    <w:p>
      <w:pPr>
        <w:pStyle w:val="Heading2"/>
        <w:spacing w:after="140" w:before="200"/>
      </w:pPr>
      <w:r>
        <w:rPr>
          <w:rFonts w:ascii="Times New Roman" w:cs="Times New Roman" w:eastAsia="Times New Roman" w:hAnsi="Times New Roman"/>
          <w:b/>
          <w:bCs/>
          <w:sz w:val="27"/>
          <w:szCs w:val="27"/>
        </w:rPr>
        <w:t xml:space="preserve">7.3  External and statistical-conclusion validity</w:t>
      </w:r>
    </w:p>
    <w:p>
      <w:pPr>
        <w:spacing w:after="160" w:line="360"/>
        <w:jc w:val="both"/>
      </w:pPr>
      <w:r>
        <w:rPr>
          <w:rFonts w:ascii="Times New Roman" w:cs="Times New Roman" w:eastAsia="Times New Roman" w:hAnsi="Times New Roman"/>
          <w:sz w:val="24"/>
          <w:szCs w:val="24"/>
        </w:rPr>
        <w:t xml:space="preserve">External validity is bounded by five pairs, one decoding regime (greedy primary, with a five-pair multi-seed arm; the two Qwen3 pairs run in non-default non-thinking mode, with the quantization × thinking-mode interaction untested), two bitsandbytes methods, direct requests only, and English-only text; the cross-family, cross-precision, and cross-budget sweeps widen it but do not make it general. Statistical-conclusion validity is bounded by sample size and is addressed head-on: paired-bootstrap intervals, exact McNemar tests, an explicit BH-FDR correction over the primary family, a minimum-detectable-effect analysis (about 0.04–0.09 per pair), and a two-layer evidence status rather than bare significance.</w:t>
      </w:r>
    </w:p>
    <w:p>
      <w:pPr>
        <w:pStyle w:val="Heading1"/>
        <w:pageBreakBefore/>
        <w:spacing w:after="200"/>
      </w:pPr>
      <w:r>
        <w:rPr>
          <w:rFonts w:ascii="Times New Roman" w:cs="Times New Roman" w:eastAsia="Times New Roman" w:hAnsi="Times New Roman"/>
          <w:b/>
          <w:bCs/>
          <w:sz w:val="32"/>
          <w:szCs w:val="32"/>
        </w:rPr>
        <w:t xml:space="preserve">Chapter 8  Limitations</w:t>
      </w:r>
    </w:p>
    <w:p>
      <w:pPr>
        <w:pStyle w:val="ListParagraph"/>
        <w:numPr>
          <w:ilvl w:val="0"/>
          <w:numId w:val="3"/>
        </w:numPr>
        <w:spacing w:after="80" w:line="360"/>
      </w:pPr>
      <w:r>
        <w:rPr>
          <w:rFonts w:ascii="Times New Roman" w:cs="Times New Roman" w:eastAsia="Times New Roman" w:hAnsi="Times New Roman"/>
          <w:sz w:val="24"/>
          <w:szCs w:val="24"/>
        </w:rPr>
        <w:t xml:space="preserve">Threat model: HarmBench was evaluated in its standard direct-request configuration only; no attack or jailbreak augmentation was applied. All safety findings, including the headline null, are scoped to direct requests and do not establish robustness under optimised adversarial attack.</w:t>
      </w:r>
    </w:p>
    <w:p>
      <w:pPr>
        <w:pStyle w:val="ListParagraph"/>
        <w:numPr>
          <w:ilvl w:val="0"/>
          <w:numId w:val="3"/>
        </w:numPr>
        <w:spacing w:after="80" w:line="360"/>
      </w:pPr>
      <w:r>
        <w:rPr>
          <w:rFonts w:ascii="Times New Roman" w:cs="Times New Roman" w:eastAsia="Times New Roman" w:hAnsi="Times New Roman"/>
          <w:sz w:val="24"/>
          <w:szCs w:val="24"/>
        </w:rPr>
        <w:t xml:space="preserve">Sample size and power: 200 HarmBench prompts give wide (about ±0.05) confidence intervals; the minimum detectable ΔASR at 80% power is about 0.06 for a representative pair (0.04–0.09 across pairs), so effects below that floor cannot be ruled out (the smallest pair’s multi-seed sign-consistency is compatible with one).</w:t>
      </w:r>
    </w:p>
    <w:p>
      <w:pPr>
        <w:pStyle w:val="ListParagraph"/>
        <w:numPr>
          <w:ilvl w:val="0"/>
          <w:numId w:val="3"/>
        </w:numPr>
        <w:spacing w:after="80" w:line="360"/>
      </w:pPr>
      <w:r>
        <w:rPr>
          <w:rFonts w:ascii="Times New Roman" w:cs="Times New Roman" w:eastAsia="Times New Roman" w:hAnsi="Times New Roman"/>
          <w:sz w:val="24"/>
          <w:szCs w:val="24"/>
        </w:rPr>
        <w:t xml:space="preserve">Decoding: the primary results condition on a single greedy decode; the multi-seed sensitivity arm now covers all five pairs and corroborates the null, though for Mistral and Phi the greedy estimate falls marginally outside the seed range with a sign flip (small noise around zero).</w:t>
      </w:r>
    </w:p>
    <w:p>
      <w:pPr>
        <w:pStyle w:val="ListParagraph"/>
        <w:numPr>
          <w:ilvl w:val="0"/>
          <w:numId w:val="3"/>
        </w:numPr>
        <w:spacing w:after="80" w:line="360"/>
      </w:pPr>
      <w:r>
        <w:rPr>
          <w:rFonts w:ascii="Times New Roman" w:cs="Times New Roman" w:eastAsia="Times New Roman" w:hAnsi="Times New Roman"/>
          <w:sz w:val="24"/>
          <w:szCs w:val="24"/>
        </w:rPr>
        <w:t xml:space="preserve">Judge grounding: the HarmBench classifier is now grounded against human labels on a stratified 200-item subset (classifier κ 0.59 vs regex 0.11, single annotator), alongside the second-judge cross-check, and the over-refusal axis now carries its own 200-item blinded audit (judge strict κ 0.485 vs regex −0.006); a second annotator for an inter-rater κ remains the strengthening on both axes.</w:t>
      </w:r>
    </w:p>
    <w:p>
      <w:pPr>
        <w:pStyle w:val="ListParagraph"/>
        <w:numPr>
          <w:ilvl w:val="0"/>
          <w:numId w:val="3"/>
        </w:numPr>
        <w:spacing w:after="80" w:line="360"/>
      </w:pPr>
      <w:r>
        <w:rPr>
          <w:rFonts w:ascii="Times New Roman" w:cs="Times New Roman" w:eastAsia="Times New Roman" w:hAnsi="Times New Roman"/>
          <w:sz w:val="24"/>
          <w:szCs w:val="24"/>
        </w:rPr>
        <w:t xml:space="preserve">Quantization coverage: two bitsandbytes methods (NF4, INT8); GPTQ, AWQ, and GGUF (the dominant on-device deployment format) are out of scope, so the null may be method-specific.</w:t>
      </w:r>
    </w:p>
    <w:p>
      <w:pPr>
        <w:pStyle w:val="ListParagraph"/>
        <w:numPr>
          <w:ilvl w:val="0"/>
          <w:numId w:val="3"/>
        </w:numPr>
        <w:spacing w:after="80" w:line="360"/>
      </w:pPr>
      <w:r>
        <w:rPr>
          <w:rFonts w:ascii="Times New Roman" w:cs="Times New Roman" w:eastAsia="Times New Roman" w:hAnsi="Times New Roman"/>
          <w:sz w:val="24"/>
          <w:szCs w:val="24"/>
        </w:rPr>
        <w:t xml:space="preserve">Generation budget: absolute ASR is budget-dependent by construction (complete generations give more room for harmful content to appear), which is controlled here by adopting HarmBench’s standardized 512-token budget; the 128-era signals are budget artefacts retained only as the generation-length comparison (Qwen3-1.7B NF4 +0.055 via truncation; Llama-3B INT8 +0.040 via cross-run greedy divergence, since Llama truncates at only 3–4 percent).</w:t>
      </w:r>
    </w:p>
    <w:p>
      <w:pPr>
        <w:pStyle w:val="ListParagraph"/>
        <w:numPr>
          <w:ilvl w:val="0"/>
          <w:numId w:val="3"/>
        </w:numPr>
        <w:spacing w:after="80" w:line="360"/>
      </w:pPr>
      <w:r>
        <w:rPr>
          <w:rFonts w:ascii="Times New Roman" w:cs="Times New Roman" w:eastAsia="Times New Roman" w:hAnsi="Times New Roman"/>
          <w:sz w:val="24"/>
          <w:szCs w:val="24"/>
        </w:rPr>
        <w:t xml:space="preserve">Generation stopping: the generation loop halts only on the tokenizer’s default end-of-sequence token, so responses can run past the model’s completed answer into synthetic follow-up turns (the model role-playing both sides of a dialogue), which skip_special_tokens decoding saves as a run-on. This is a decoding-configuration artefact: it inflates response length but is produced identically by both pair members, so its effect is matched across the pair by construction, and the full-response classifier still scores any harmful content a continuation might contain. Stopping at the chat turn-end token is a straightforward fix for future runs.</w:t>
      </w:r>
    </w:p>
    <w:p>
      <w:pPr>
        <w:pStyle w:val="ListParagraph"/>
        <w:numPr>
          <w:ilvl w:val="0"/>
          <w:numId w:val="3"/>
        </w:numPr>
        <w:spacing w:after="80" w:line="360"/>
      </w:pPr>
      <w:r>
        <w:rPr>
          <w:rFonts w:ascii="Times New Roman" w:cs="Times New Roman" w:eastAsia="Times New Roman" w:hAnsi="Times New Roman"/>
          <w:sz w:val="24"/>
          <w:szCs w:val="24"/>
        </w:rPr>
        <w:t xml:space="preserve">Capability anchor: interpretation labels are MMLU-anchored; a formal composite-capability rule across MMLU and ARC is left to future work.</w:t>
      </w:r>
    </w:p>
    <w:p>
      <w:pPr>
        <w:pStyle w:val="Heading1"/>
        <w:pageBreakBefore/>
        <w:spacing w:after="200"/>
      </w:pPr>
      <w:r>
        <w:rPr>
          <w:rFonts w:ascii="Times New Roman" w:cs="Times New Roman" w:eastAsia="Times New Roman" w:hAnsi="Times New Roman"/>
          <w:b/>
          <w:bCs/>
          <w:sz w:val="32"/>
          <w:szCs w:val="32"/>
        </w:rPr>
        <w:t xml:space="preserve">Chapter 9  Progress and Remaining Work</w:t>
      </w:r>
    </w:p>
    <w:p>
      <w:pPr>
        <w:pStyle w:val="Heading2"/>
        <w:spacing w:after="140" w:before="200"/>
      </w:pPr>
      <w:r>
        <w:rPr>
          <w:rFonts w:ascii="Times New Roman" w:cs="Times New Roman" w:eastAsia="Times New Roman" w:hAnsi="Times New Roman"/>
          <w:b/>
          <w:bCs/>
          <w:sz w:val="27"/>
          <w:szCs w:val="27"/>
        </w:rPr>
        <w:t xml:space="preserve">9.1  Progress to date</w:t>
      </w:r>
    </w:p>
    <w:p>
      <w:pPr>
        <w:spacing w:after="160" w:line="360"/>
        <w:jc w:val="both"/>
      </w:pPr>
      <w:r>
        <w:rPr>
          <w:rFonts w:ascii="Times New Roman" w:cs="Times New Roman" w:eastAsia="Times New Roman" w:hAnsi="Times New Roman"/>
          <w:sz w:val="24"/>
          <w:szCs w:val="24"/>
        </w:rPr>
        <w:t xml:space="preserve">The experimental programme is complete. All five matched pairs across four families (Qwen3-1.7B, Qwen3-4B, Llama-3.2-3B-Instruct, Mistral-7B-Instruct-v0.3, and Phi-4-mini-instruct) have been evaluated at three precisions (fp16, INT8, NF4) on all four benchmarks (HarmBench, XSTest, MMLU, and ARC-Challenge), at both HarmBench’s 512-token reference budget (the primary study) and an initial 128-token budget (retained as a controlled comparison), on the NTU TC1 GPU cluster. Harmful compliance has been scored by the official HarmBench classifier and cross-checked by a second, architecturally independent judge (GPT-4o) across all ten models and by an open-weight third judge (Llama-Guard-3-8B [22], revision-pinned) across all fifteen aliases — Cohen’s κ 0.36–0.92 against the classifier over the ten base/NF4 aliases, every per-pair ΔASR non-significant; a reproducibility cross-check of a looser “is this response unsafe?” construct, not a second construct-validity oracle — and a single-annotator human-label validation of 200 stratified responses has grounded the primary scorer against human judgment (classifier κ 0.59 versus regex 0.11). Three robustness arms are complete: a five-seed stochastic-decoding sensitivity arm (all five pairs), a first-token refusal-margin mechanism probe, and the fp16 → INT8 → NF4 precision sweep. The analysis is complete, and the supporting framework, automated verification suite, and artifact-derived claim registry are implemented and released.</w:t>
      </w:r>
    </w:p>
    <w:p>
      <w:pPr>
        <w:spacing w:after="160" w:line="360"/>
        <w:jc w:val="both"/>
      </w:pPr>
      <w:r>
        <w:rPr>
          <w:rFonts w:ascii="Times New Roman" w:cs="Times New Roman" w:eastAsia="Times New Roman" w:hAnsi="Times New Roman"/>
          <w:sz w:val="24"/>
          <w:szCs w:val="24"/>
        </w:rPr>
        <w:t xml:space="preserve">Two of these steps were corrections rather than plan items, and Chapter 6 reports them as evidence of a self-checking methodology: the initial refusal-regex scorer was found to over-count harmful compliance and was demoted in favour of HarmBench’s own fine-tuned classifier, and the initial 128-token generation budget was found to have truncated the majority of responses and manufactured an apparent safety regression, prompting a full re-run of the entire study at HarmBench’s standardized 512-token budget. Both are documented rather than hidden, because the design’s ability to detect and correct its own artefacts is itself a result.</w:t>
      </w:r>
    </w:p>
    <w:p>
      <w:pPr>
        <w:pStyle w:val="Heading2"/>
        <w:spacing w:after="140" w:before="200"/>
      </w:pPr>
      <w:r>
        <w:rPr>
          <w:rFonts w:ascii="Times New Roman" w:cs="Times New Roman" w:eastAsia="Times New Roman" w:hAnsi="Times New Roman"/>
          <w:b/>
          <w:bCs/>
          <w:sz w:val="27"/>
          <w:szCs w:val="27"/>
        </w:rPr>
        <w:t xml:space="preserve">9.2  Remaining work toward the final thesis</w:t>
      </w:r>
    </w:p>
    <w:p>
      <w:pPr>
        <w:spacing w:after="160" w:line="360"/>
        <w:jc w:val="both"/>
      </w:pPr>
      <w:r>
        <w:rPr>
          <w:rFonts w:ascii="Times New Roman" w:cs="Times New Roman" w:eastAsia="Times New Roman" w:hAnsi="Times New Roman"/>
          <w:sz w:val="24"/>
          <w:szCs w:val="24"/>
        </w:rPr>
        <w:t xml:space="preserve">The study’s scientific claims are established and machine-locked; the remaining work is confirmatory and extensional, and is scoped for the final thesis. In rough order of priority:</w:t>
      </w:r>
    </w:p>
    <w:p>
      <w:pPr>
        <w:pStyle w:val="ListParagraph"/>
        <w:numPr>
          <w:ilvl w:val="0"/>
          <w:numId w:val="4"/>
        </w:numPr>
        <w:spacing w:after="80" w:line="360"/>
      </w:pPr>
      <w:r>
        <w:rPr>
          <w:rFonts w:ascii="Times New Roman" w:cs="Times New Roman" w:eastAsia="Times New Roman" w:hAnsi="Times New Roman"/>
          <w:sz w:val="24"/>
          <w:szCs w:val="24"/>
        </w:rPr>
        <w:t xml:space="preserve">An adversarial-attack arm: re-run the HarmBench axis under at least one optimisation-based or LLM-mediated attack (for example GCG or PAIR) on a subset of pairs, upgrading the direct-request compliance result to a quantization-versus-safety-under-attack result. This is the highest-leverage extension of the safety axis.</w:t>
      </w:r>
    </w:p>
    <w:p>
      <w:pPr>
        <w:pStyle w:val="ListParagraph"/>
        <w:numPr>
          <w:ilvl w:val="0"/>
          <w:numId w:val="4"/>
        </w:numPr>
        <w:spacing w:after="80" w:line="360"/>
      </w:pPr>
      <w:r>
        <w:rPr>
          <w:rFonts w:ascii="Times New Roman" w:cs="Times New Roman" w:eastAsia="Times New Roman" w:hAnsi="Times New Roman"/>
          <w:sz w:val="24"/>
          <w:szCs w:val="24"/>
        </w:rPr>
        <w:t xml:space="preserve">A second human annotator (inter-rater κ and adjudication of disagreements) extending the completed single-annotator human validation (classifier κ 0.59 vs regex 0.11 against human labels).</w:t>
      </w:r>
    </w:p>
    <w:p>
      <w:pPr>
        <w:pStyle w:val="ListParagraph"/>
        <w:numPr>
          <w:ilvl w:val="0"/>
          <w:numId w:val="4"/>
        </w:numPr>
        <w:spacing w:after="80" w:line="360"/>
      </w:pPr>
      <w:r>
        <w:rPr>
          <w:rFonts w:ascii="Times New Roman" w:cs="Times New Roman" w:eastAsia="Times New Roman" w:hAnsi="Times New Roman"/>
          <w:sz w:val="24"/>
          <w:szCs w:val="24"/>
        </w:rPr>
        <w:t xml:space="preserve">Adding genuinely different quantization families (GPTQ, AWQ, and especially GGUF, the deployment-dominant format) beyond the two bitsandbytes methods.</w:t>
      </w:r>
    </w:p>
    <w:p>
      <w:pPr>
        <w:pStyle w:val="ListParagraph"/>
        <w:numPr>
          <w:ilvl w:val="0"/>
          <w:numId w:val="4"/>
        </w:numPr>
        <w:spacing w:after="80" w:line="360"/>
      </w:pPr>
      <w:r>
        <w:rPr>
          <w:rFonts w:ascii="Times New Roman" w:cs="Times New Roman" w:eastAsia="Times New Roman" w:hAnsi="Times New Roman"/>
          <w:sz w:val="24"/>
          <w:szCs w:val="24"/>
        </w:rPr>
        <w:t xml:space="preserve">Extending the refusal-margin probe across all three precisions, and an independent activation-space refusal-direction probe with a paired neutral-margin control and a significance test.</w:t>
      </w:r>
    </w:p>
    <w:p>
      <w:pPr>
        <w:pStyle w:val="Heading1"/>
        <w:pageBreakBefore/>
        <w:spacing w:after="200"/>
      </w:pPr>
      <w:r>
        <w:rPr>
          <w:rFonts w:ascii="Times New Roman" w:cs="Times New Roman" w:eastAsia="Times New Roman" w:hAnsi="Times New Roman"/>
          <w:b/>
          <w:bCs/>
          <w:sz w:val="32"/>
          <w:szCs w:val="32"/>
        </w:rPr>
        <w:t xml:space="preserve">Chapter 10  Conclusion</w:t>
      </w:r>
    </w:p>
    <w:p>
      <w:pPr>
        <w:spacing w:after="160" w:line="360"/>
        <w:jc w:val="both"/>
      </w:pPr>
      <w:r>
        <w:rPr>
          <w:rFonts w:ascii="Times New Roman" w:cs="Times New Roman" w:eastAsia="Times New Roman" w:hAnsi="Times New Roman"/>
          <w:sz w:val="24"/>
          <w:szCs w:val="24"/>
        </w:rPr>
        <w:t xml:space="preserve">This interim report set out to determine whether the safety changes attributed to quantization in compact LLMs are genuine alignment shifts or artefacts of capability loss, invalid scoring, or truncated generation. By combining a matched-pair design, a judge-validated primary scorer with an independent cross-check, a capability anchor, a multi-precision sweep, and the benchmark’s own standardized generation budget, it reaches a calibrated answer. At the 512-token reference budget, none of the five pairs across four families shows a significant increase in harmful compliance under direct requests at four-bit NF4; not one ASR contrast survives multiplicity correction; the only individually significant safety move is a decrease; and the effects that do survive correction are capability losses and one benign-direction over-refusal change. Capability degradation is a clean cliff at four-bit, is budget-invariant, and is the robust cost of NF4 in this regime.</w:t>
      </w:r>
    </w:p>
    <w:p>
      <w:pPr>
        <w:spacing w:after="160" w:line="360"/>
        <w:jc w:val="both"/>
      </w:pPr>
      <w:r>
        <w:rPr>
          <w:rFonts w:ascii="Times New Roman" w:cs="Times New Roman" w:eastAsia="Times New Roman" w:hAnsi="Times New Roman"/>
          <w:sz w:val="24"/>
          <w:szCs w:val="24"/>
        </w:rPr>
        <w:t xml:space="preserve">Its most transferable lessons are methodological, and there are two. A refusal-counting scorer over-states harmful compliance and, uncorrected, can change a study’s conclusion; safety evaluation should validate its scorer against the benchmark’s own classifier and a second judge, and report chance-corrected agreement. And the generation budget is a first-class experimental parameter: a truncated budget manufactured this study’s original headline result, and only re-running at the benchmark’s standardized 512-token budget revealed it as an artefact. Both lessons argue for the same discipline: measure the instrument before trusting the measurement, and resist over-claiming on small, borderline effects. The open, reproducible framework that produced these results, together with the machine claim lock that ties every reported number to the committed artefacts, is the project’s durable contribution, designed for others to extend to their own models, benchmarks, and quantization methods.</w:t>
      </w:r>
    </w:p>
    <w:p>
      <w:pPr>
        <w:pStyle w:val="Heading1"/>
        <w:pageBreakBefore/>
        <w:spacing w:after="200"/>
      </w:pPr>
      <w:r>
        <w:rPr>
          <w:rFonts w:ascii="Times New Roman" w:cs="Times New Roman" w:eastAsia="Times New Roman" w:hAnsi="Times New Roman"/>
          <w:b/>
          <w:bCs/>
          <w:sz w:val="32"/>
          <w:szCs w:val="32"/>
        </w:rPr>
        <w:t xml:space="preserve">References</w:t>
      </w:r>
    </w:p>
    <w:p>
      <w:pPr>
        <w:spacing w:after="90" w:line="264"/>
        <w:ind w:left="400" w:hanging="400"/>
      </w:pPr>
      <w:r>
        <w:rPr>
          <w:rFonts w:ascii="Times New Roman" w:cs="Times New Roman" w:eastAsia="Times New Roman" w:hAnsi="Times New Roman"/>
          <w:sz w:val="22"/>
          <w:szCs w:val="22"/>
        </w:rPr>
        <w:t xml:space="preserve">[1] T. Dettmers, M. Lewis, Y. Belkada, and L. Zettlemoyer, “LLM.int8(): 8-bit matrix multiplication for transformers at scale,” in Proc. Advances in Neural Information Processing Systems (NeurIPS), 2022. arXiv:2208.07339.</w:t>
      </w:r>
    </w:p>
    <w:p>
      <w:pPr>
        <w:spacing w:after="90" w:line="264"/>
        <w:ind w:left="400" w:hanging="400"/>
      </w:pPr>
      <w:r>
        <w:rPr>
          <w:rFonts w:ascii="Times New Roman" w:cs="Times New Roman" w:eastAsia="Times New Roman" w:hAnsi="Times New Roman"/>
          <w:sz w:val="22"/>
          <w:szCs w:val="22"/>
        </w:rPr>
        <w:t xml:space="preserve">[2] T. Dettmers, A. Pagnoni, A. Holtzman, and L. Zettlemoyer, “QLoRA: Efficient finetuning of quantized LLMs,” in Proc. NeurIPS, 2023. arXiv:2305.14314.</w:t>
      </w:r>
    </w:p>
    <w:p>
      <w:pPr>
        <w:spacing w:after="90" w:line="264"/>
        <w:ind w:left="400" w:hanging="400"/>
      </w:pPr>
      <w:r>
        <w:rPr>
          <w:rFonts w:ascii="Times New Roman" w:cs="Times New Roman" w:eastAsia="Times New Roman" w:hAnsi="Times New Roman"/>
          <w:sz w:val="22"/>
          <w:szCs w:val="22"/>
        </w:rPr>
        <w:t xml:space="preserve">[3] M. Mazeika et al., “HarmBench: A standardized evaluation framework for automated red teaming and robust refusal,” in Proc. International Conference on Machine Learning (ICML), 2024. arXiv:2402.04249.</w:t>
      </w:r>
    </w:p>
    <w:p>
      <w:pPr>
        <w:spacing w:after="90" w:line="264"/>
        <w:ind w:left="400" w:hanging="400"/>
      </w:pPr>
      <w:r>
        <w:rPr>
          <w:rFonts w:ascii="Times New Roman" w:cs="Times New Roman" w:eastAsia="Times New Roman" w:hAnsi="Times New Roman"/>
          <w:sz w:val="22"/>
          <w:szCs w:val="22"/>
        </w:rPr>
        <w:t xml:space="preserve">[4] A. Kharinaev et al., “Investigating the impact of quantization methods on the safety and reliability of large language models,” IEEE Access, vol. 14, pp. 96771–96793, 2026, doi: 10.1109/ACCESS.2026.3703899. arXiv:2502.15799.</w:t>
      </w:r>
    </w:p>
    <w:p>
      <w:pPr>
        <w:spacing w:after="90" w:line="264"/>
        <w:ind w:left="400" w:hanging="400"/>
      </w:pPr>
      <w:r>
        <w:rPr>
          <w:rFonts w:ascii="Times New Roman" w:cs="Times New Roman" w:eastAsia="Times New Roman" w:hAnsi="Times New Roman"/>
          <w:sz w:val="22"/>
          <w:szCs w:val="22"/>
        </w:rPr>
        <w:t xml:space="preserve">[5] Y. Belkhiter et al., “HarmLevelBench: Evaluating harm-level compliance and the impact of quantization on model alignment,” arXiv preprint arXiv:2411.06835, 2024.</w:t>
      </w:r>
    </w:p>
    <w:p>
      <w:pPr>
        <w:spacing w:after="90" w:line="264"/>
        <w:ind w:left="400" w:hanging="400"/>
      </w:pPr>
      <w:r>
        <w:rPr>
          <w:rFonts w:ascii="Times New Roman" w:cs="Times New Roman" w:eastAsia="Times New Roman" w:hAnsi="Times New Roman"/>
          <w:sz w:val="22"/>
          <w:szCs w:val="22"/>
        </w:rPr>
        <w:t xml:space="preserve">[6] R. Jin et al., “A comprehensive evaluation of quantization strategies for large language models,” in Findings of the Association for Computational Linguistics (ACL Findings), 2024. arXiv:2402.16775.</w:t>
      </w:r>
    </w:p>
    <w:p>
      <w:pPr>
        <w:spacing w:after="90" w:line="264"/>
        <w:ind w:left="400" w:hanging="400"/>
      </w:pPr>
      <w:r>
        <w:rPr>
          <w:rFonts w:ascii="Times New Roman" w:cs="Times New Roman" w:eastAsia="Times New Roman" w:hAnsi="Times New Roman"/>
          <w:sz w:val="22"/>
          <w:szCs w:val="22"/>
        </w:rPr>
        <w:t xml:space="preserve">[7] K. Egashira, M. Vero, R. Staab, J. He, and M. Vechev, “Exploiting LLM quantization,” in Proc. Advances in Neural Information Processing Systems (NeurIPS), 2024. arXiv:2405.18137.</w:t>
      </w:r>
    </w:p>
    <w:p>
      <w:pPr>
        <w:spacing w:after="90" w:line="264"/>
        <w:ind w:left="400" w:hanging="400"/>
      </w:pPr>
      <w:r>
        <w:rPr>
          <w:rFonts w:ascii="Times New Roman" w:cs="Times New Roman" w:eastAsia="Times New Roman" w:hAnsi="Times New Roman"/>
          <w:sz w:val="22"/>
          <w:szCs w:val="22"/>
        </w:rPr>
        <w:t xml:space="preserve">[8] J. Hong, J. Duan, C. Zhang, Z. Li, C. Xie, K. Lieberman, J. Diffenderfer, B. R. Bartoldson, A. K. Jaiswal, K. Xu, B. Kailkhura, D. Hendrycks, D. Song, Z. Wang, and B. Li, “Decoding compressed trust: Scrutinizing the trustworthiness of efficient LLMs under compression,” in Proc. International Conference on Machine Learning (ICML), PMLR vol. 235, 2024. arXiv:2403.15447.</w:t>
      </w:r>
    </w:p>
    <w:p>
      <w:pPr>
        <w:spacing w:after="90" w:line="264"/>
        <w:ind w:left="400" w:hanging="400"/>
      </w:pPr>
      <w:r>
        <w:rPr>
          <w:rFonts w:ascii="Times New Roman" w:cs="Times New Roman" w:eastAsia="Times New Roman" w:hAnsi="Times New Roman"/>
          <w:sz w:val="22"/>
          <w:szCs w:val="22"/>
        </w:rPr>
        <w:t xml:space="preserve">[9] P. Röttger, H. R. Kirk, B. Vidgen, G. Attanasio, F. Bianchi, and D. Hovy, “XSTest: A test suite for identifying exaggerated safety behaviours in large language models,” in Proc. NAACL, 2024. arXiv:2308.01263.</w:t>
      </w:r>
    </w:p>
    <w:p>
      <w:pPr>
        <w:spacing w:after="90" w:line="264"/>
        <w:ind w:left="400" w:hanging="400"/>
      </w:pPr>
      <w:r>
        <w:rPr>
          <w:rFonts w:ascii="Times New Roman" w:cs="Times New Roman" w:eastAsia="Times New Roman" w:hAnsi="Times New Roman"/>
          <w:sz w:val="22"/>
          <w:szCs w:val="22"/>
        </w:rPr>
        <w:t xml:space="preserve">[10] P. Liang et al., “Holistic evaluation of language models,” Transactions on Machine Learning Research (TMLR), 2023. arXiv:2211.09110.</w:t>
      </w:r>
    </w:p>
    <w:p>
      <w:pPr>
        <w:spacing w:after="90" w:line="264"/>
        <w:ind w:left="400" w:hanging="400"/>
      </w:pPr>
      <w:r>
        <w:rPr>
          <w:rFonts w:ascii="Times New Roman" w:cs="Times New Roman" w:eastAsia="Times New Roman" w:hAnsi="Times New Roman"/>
          <w:sz w:val="22"/>
          <w:szCs w:val="22"/>
        </w:rPr>
        <w:t xml:space="preserve">[11] J. Gu et al., “A survey on LLM-as-a-judge,” arXiv preprint arXiv:2411.15594, 2024.</w:t>
      </w:r>
    </w:p>
    <w:p>
      <w:pPr>
        <w:spacing w:after="90" w:line="264"/>
        <w:ind w:left="400" w:hanging="400"/>
      </w:pPr>
      <w:r>
        <w:rPr>
          <w:rFonts w:ascii="Times New Roman" w:cs="Times New Roman" w:eastAsia="Times New Roman" w:hAnsi="Times New Roman"/>
          <w:sz w:val="22"/>
          <w:szCs w:val="22"/>
        </w:rPr>
        <w:t xml:space="preserve">[12] M. Krumdick et al., “No free labels: Limitations of LLM-as-a-judge without human grounding,” arXiv preprint arXiv:2503.05061, 2025.</w:t>
      </w:r>
    </w:p>
    <w:p>
      <w:pPr>
        <w:spacing w:after="90" w:line="264"/>
        <w:ind w:left="400" w:hanging="400"/>
      </w:pPr>
      <w:r>
        <w:rPr>
          <w:rFonts w:ascii="Times New Roman" w:cs="Times New Roman" w:eastAsia="Times New Roman" w:hAnsi="Times New Roman"/>
          <w:sz w:val="22"/>
          <w:szCs w:val="22"/>
        </w:rPr>
        <w:t xml:space="preserve">[13] D. Hendrycks, C. Burns, S. Basart, A. Zou, M. Mazeika, D. Song, and J. Steinhardt, “Measuring massive multitask language understanding,” in Proc. International Conference on Learning Representations (ICLR), 2021. arXiv:2009.03300.</w:t>
      </w:r>
    </w:p>
    <w:p>
      <w:pPr>
        <w:spacing w:after="90" w:line="264"/>
        <w:ind w:left="400" w:hanging="400"/>
      </w:pPr>
      <w:r>
        <w:rPr>
          <w:rFonts w:ascii="Times New Roman" w:cs="Times New Roman" w:eastAsia="Times New Roman" w:hAnsi="Times New Roman"/>
          <w:sz w:val="22"/>
          <w:szCs w:val="22"/>
        </w:rPr>
        <w:t xml:space="preserve">[14] P. Clark, I. Cowhey, O. Etzioni, T. Khot, A. Sabharwal, C. Schoenick, and O. Tafjord, “Think you have solved question answering? Try ARC, the AI2 reasoning challenge,” arXiv preprint arXiv:1803.05457, 2018.</w:t>
      </w:r>
    </w:p>
    <w:p>
      <w:pPr>
        <w:spacing w:after="90" w:line="264"/>
        <w:ind w:left="400" w:hanging="400"/>
      </w:pPr>
      <w:r>
        <w:rPr>
          <w:rFonts w:ascii="Times New Roman" w:cs="Times New Roman" w:eastAsia="Times New Roman" w:hAnsi="Times New Roman"/>
          <w:sz w:val="22"/>
          <w:szCs w:val="22"/>
        </w:rPr>
        <w:t xml:space="preserve">[15] B. Efron and R. J. Tibshirani, An Introduction to the Bootstrap. New York: Chapman &amp; Hall, 1993.</w:t>
      </w:r>
    </w:p>
    <w:p>
      <w:pPr>
        <w:spacing w:after="90" w:line="264"/>
        <w:ind w:left="400" w:hanging="400"/>
      </w:pPr>
      <w:r>
        <w:rPr>
          <w:rFonts w:ascii="Times New Roman" w:cs="Times New Roman" w:eastAsia="Times New Roman" w:hAnsi="Times New Roman"/>
          <w:sz w:val="22"/>
          <w:szCs w:val="22"/>
        </w:rPr>
        <w:t xml:space="preserve">[16] Q. McNemar, “Note on the sampling error of the difference between correlated proportions or percentages,” Psychometrika, vol. 12, no. 2, pp. 153–157, 1947.</w:t>
      </w:r>
    </w:p>
    <w:p>
      <w:pPr>
        <w:spacing w:after="90" w:line="264"/>
        <w:ind w:left="400" w:hanging="400"/>
      </w:pPr>
      <w:r>
        <w:rPr>
          <w:rFonts w:ascii="Times New Roman" w:cs="Times New Roman" w:eastAsia="Times New Roman" w:hAnsi="Times New Roman"/>
          <w:sz w:val="22"/>
          <w:szCs w:val="22"/>
        </w:rPr>
        <w:t xml:space="preserve">[17] Y. Benjamini and Y. Hochberg, “Controlling the false discovery rate: A practical and powerful approach to multiple testing,” Journal of the Royal Statistical Society: Series B (Methodological), vol. 57, no. 1, pp. 289–300, 1995.</w:t>
      </w:r>
    </w:p>
    <w:p>
      <w:pPr>
        <w:spacing w:after="90" w:line="264"/>
        <w:ind w:left="400" w:hanging="400"/>
      </w:pPr>
      <w:r>
        <w:rPr>
          <w:rFonts w:ascii="Times New Roman" w:cs="Times New Roman" w:eastAsia="Times New Roman" w:hAnsi="Times New Roman"/>
          <w:sz w:val="22"/>
          <w:szCs w:val="22"/>
        </w:rPr>
        <w:t xml:space="preserve">[18] R. J. Connor, “Sample size for testing differences in proportions for the paired-sample design,” Biometrics, vol. 43, no. 1, pp. 207–211, 1987.</w:t>
      </w:r>
    </w:p>
    <w:p>
      <w:pPr>
        <w:spacing w:after="90" w:line="264"/>
        <w:ind w:left="400" w:hanging="400"/>
      </w:pPr>
      <w:r>
        <w:rPr>
          <w:rFonts w:ascii="Times New Roman" w:cs="Times New Roman" w:eastAsia="Times New Roman" w:hAnsi="Times New Roman"/>
          <w:sz w:val="22"/>
          <w:szCs w:val="22"/>
        </w:rPr>
        <w:t xml:space="preserve">[19] J. Cohen, “A coefficient of agreement for nominal scales,” Educational and Psychological Measurement, vol. 20, no. 1, pp. 37–46, 1960.</w:t>
      </w:r>
    </w:p>
    <w:p>
      <w:pPr>
        <w:spacing w:after="90" w:line="264"/>
        <w:ind w:left="400" w:hanging="400"/>
      </w:pPr>
      <w:r>
        <w:rPr>
          <w:rFonts w:ascii="Times New Roman" w:cs="Times New Roman" w:eastAsia="Times New Roman" w:hAnsi="Times New Roman"/>
          <w:sz w:val="22"/>
          <w:szCs w:val="22"/>
        </w:rPr>
        <w:t xml:space="preserve">[20] J. R. Landis and G. G. Koch, “The measurement of observer agreement for categorical data,” Biometrics, vol. 33, no. 1, pp. 159–174, 1977.</w:t>
      </w:r>
    </w:p>
    <w:p>
      <w:pPr>
        <w:spacing w:after="90" w:line="264"/>
        <w:ind w:left="400" w:hanging="400"/>
      </w:pPr>
      <w:r>
        <w:rPr>
          <w:rFonts w:ascii="Times New Roman" w:cs="Times New Roman" w:eastAsia="Times New Roman" w:hAnsi="Times New Roman"/>
          <w:sz w:val="22"/>
          <w:szCs w:val="22"/>
        </w:rPr>
        <w:t xml:space="preserve">[21] I. Proskurina, L. Brun, G. Metzler, and J. Velcin, “When quantization affects confidence of large language models?,” in Findings of NAACL, 2024. arXiv:2405.00632.</w:t>
      </w:r>
    </w:p>
    <w:p>
      <w:pPr>
        <w:spacing w:after="90" w:line="264"/>
        <w:ind w:left="400" w:hanging="400"/>
      </w:pPr>
      <w:r>
        <w:rPr>
          <w:rFonts w:ascii="Times New Roman" w:cs="Times New Roman" w:eastAsia="Times New Roman" w:hAnsi="Times New Roman"/>
          <w:sz w:val="22"/>
          <w:szCs w:val="22"/>
        </w:rPr>
        <w:t xml:space="preserve">[22] H. Inan et al., “Llama Guard: LLM-based input-output safeguard for human-AI conversations,” Meta AI, 2023. arXiv:2312.06674.</w:t>
      </w:r>
    </w:p>
    <w:p>
      <w:pPr>
        <w:spacing w:after="90" w:line="264"/>
        <w:ind w:left="400" w:hanging="400"/>
      </w:pPr>
      <w:r>
        <w:rPr>
          <w:rFonts w:ascii="Times New Roman" w:cs="Times New Roman" w:eastAsia="Times New Roman" w:hAnsi="Times New Roman"/>
          <w:sz w:val="22"/>
          <w:szCs w:val="22"/>
        </w:rPr>
        <w:t xml:space="preserve">[23] J. Pineau et al., “Improving reproducibility in machine learning research (a report from the NeurIPS 2019 reproducibility program),” Journal of Machine Learning Research (JMLR), vol. 22, 2021. arXiv:2003.12206.</w:t>
      </w:r>
    </w:p>
    <w:p>
      <w:pPr>
        <w:spacing w:after="90" w:line="264"/>
        <w:ind w:left="400" w:hanging="400"/>
      </w:pPr>
      <w:r>
        <w:rPr>
          <w:rFonts w:ascii="Times New Roman" w:cs="Times New Roman" w:eastAsia="Times New Roman" w:hAnsi="Times New Roman"/>
          <w:sz w:val="22"/>
          <w:szCs w:val="22"/>
        </w:rPr>
        <w:t xml:space="preserve">[24] G. K. Sandve, A. Nekrutenko, J. Taylor, and E. Hovig, “Ten simple rules for reproducible computational research,” PLOS Computational Biology, vol. 9, no. 10, e1003285, 2013.</w:t>
      </w:r>
    </w:p>
    <w:p>
      <w:pPr>
        <w:spacing w:after="90" w:line="264"/>
        <w:ind w:left="400" w:hanging="400"/>
      </w:pPr>
      <w:r>
        <w:rPr>
          <w:rFonts w:ascii="Times New Roman" w:cs="Times New Roman" w:eastAsia="Times New Roman" w:hAnsi="Times New Roman"/>
          <w:sz w:val="22"/>
          <w:szCs w:val="22"/>
        </w:rPr>
        <w:t xml:space="preserve">[25] G. Wilson, J. Bryan, K. Cranston, J. Kitzes, L. Nederbragt, and T. K. Teal, “Good enough practices in scientific computing,” PLOS Computational Biology, vol. 13, no. 6, e1005510, 2017.</w:t>
      </w:r>
    </w:p>
    <w:p>
      <w:pPr>
        <w:spacing w:after="90" w:line="264"/>
        <w:ind w:left="400" w:hanging="400"/>
      </w:pPr>
      <w:r>
        <w:rPr>
          <w:rFonts w:ascii="Times New Roman" w:cs="Times New Roman" w:eastAsia="Times New Roman" w:hAnsi="Times New Roman"/>
          <w:sz w:val="22"/>
          <w:szCs w:val="22"/>
        </w:rPr>
        <w:t xml:space="preserve">[26] A. M. Smith et al., “Journal of Open Source Software (JOSS): Design and first-year review,” arXiv preprint arXiv:1707.02264, 2017.</w:t>
      </w:r>
    </w:p>
    <w:p>
      <w:pPr>
        <w:pStyle w:val="Heading1"/>
        <w:pageBreakBefore/>
        <w:spacing w:after="200"/>
      </w:pPr>
      <w:r>
        <w:rPr>
          <w:rFonts w:ascii="Times New Roman" w:cs="Times New Roman" w:eastAsia="Times New Roman" w:hAnsi="Times New Roman"/>
          <w:b/>
          <w:bCs/>
          <w:sz w:val="32"/>
          <w:szCs w:val="32"/>
        </w:rPr>
        <w:t xml:space="preserve">Appendix A  Reproducibility Statement</w:t>
      </w:r>
    </w:p>
    <w:p>
      <w:pPr>
        <w:spacing w:after="160" w:line="360"/>
        <w:jc w:val="both"/>
      </w:pPr>
      <w:r>
        <w:rPr>
          <w:rFonts w:ascii="Times New Roman" w:cs="Times New Roman" w:eastAsia="Times New Roman" w:hAnsi="Times New Roman"/>
          <w:sz w:val="24"/>
          <w:szCs w:val="24"/>
        </w:rPr>
        <w:t xml:space="preserve">All code, configuration, and redacted result artefacts are in the project repository. The analysis reproduces byte-for-byte from the committed sidecars without a GPU; full experiments require the gated model weights and a CUDA GPU. The project maps to the ML Reproducibility Checklist [23]: models and algorithms are described (Chapters 3–4); datasets, splits, and sample counts are recorded in each run summary; code and declared dependencies are released; hyper-parameters and decoding controls are recorded in every summary; the compute infrastructure is recorded; and significance procedures are specified, with multiple comparisons disclosed. The dependency set is declared with minimum-version floors (a lockfile with exact pins is a future hardening step). The repository follows recognised research-software practice (scripts rather than manual steps, fixed seeds, explicit dependencies, and a documented project structure [24], [25]) and is packaged for reuse in line with open-source-software peer-review norms [26]. Raw generations are gitignored and hash-pinned; only redacted sidecars (identifiers, booleans, scalars) are released, so the study is reproducible without redistributing harmful text. The primary artefacts live under results_512/ (the 512-token study), with the 128-token run retained under results/ as the generation-length comparison; a checksum manifest pins 340 immutable raw files across both trees and the multi-seed arm.</w:t>
      </w:r>
    </w:p>
    <w:p>
      <w:pPr>
        <w:pStyle w:val="Heading1"/>
        <w:pageBreakBefore/>
        <w:spacing w:after="200"/>
      </w:pPr>
      <w:r>
        <w:rPr>
          <w:rFonts w:ascii="Times New Roman" w:cs="Times New Roman" w:eastAsia="Times New Roman" w:hAnsi="Times New Roman"/>
          <w:b/>
          <w:bCs/>
          <w:sz w:val="32"/>
          <w:szCs w:val="32"/>
        </w:rPr>
        <w:t xml:space="preserve">Appendix B  Artefacts and Test Suite</w:t>
      </w:r>
    </w:p>
    <w:p>
      <w:pPr>
        <w:spacing w:after="160" w:line="360"/>
        <w:jc w:val="both"/>
      </w:pPr>
      <w:r>
        <w:rPr>
          <w:rFonts w:ascii="Times New Roman" w:cs="Times New Roman" w:eastAsia="Times New Roman" w:hAnsi="Times New Roman"/>
          <w:sz w:val="24"/>
          <w:szCs w:val="24"/>
        </w:rPr>
        <w:t xml:space="preserve">The framework ships an automated verification suite across the schema, loaders, scorers, analysis mathematics, SLURM generation, and registered document surfaces. The artifact-derived claim registry binds load-bearing tables, captions, deck data, and recurring prose to results_512/analysis/, while a checksum manifest pins immutable raw artefacts. The live test inventory is obtained from pytest rather than copied into the interim report.</w:t>
      </w:r>
    </w:p>
    <w:sectPr>
      <w:headerReference w:type="default" r:id="rId7"/>
      <w:footerReference w:type="default" r:id="rId8"/>
      <w:pgSz w:w="11906" w:h="16838" w:orient="portrait"/>
      <w:pgMar w:top="1273" w:right="1273" w:bottom="1273"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jc w:val="right"/>
    </w:pPr>
    <w:r>
      <w:rPr>
        <w:rFonts w:ascii="Times New Roman" w:cs="Times New Roman" w:eastAsia="Times New Roman" w:hAnsi="Times New Roman"/>
        <w:color w:val="666666"/>
        <w:sz w:val="16"/>
        <w:szCs w:val="16"/>
      </w:rPr>
      <w:t xml:space="preserve">Safety–Capability Trade-offs in Quantized Compact LLMs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7"/>
      <w:szCs w:val="27"/>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7e7060e5fa5f34cec2cabd45c3bf23912932979.png"/><Relationship Id="rId10" Type="http://schemas.openxmlformats.org/officeDocument/2006/relationships/image" Target="media/f11558faa395e71edc5794134eb69b587481aca1.png"/><Relationship Id="rId11" Type="http://schemas.openxmlformats.org/officeDocument/2006/relationships/image" Target="media/7132d3f39775e6787f3278c55e3644ccc8aae40f.png"/><Relationship Id="rId12" Type="http://schemas.openxmlformats.org/officeDocument/2006/relationships/image" Target="media/861c1695507340d933a706937cdac3959c8977fa.png"/><Relationship Id="rId13" Type="http://schemas.openxmlformats.org/officeDocument/2006/relationships/image" Target="media/cd5dcc8827032c93c15d518c1fc15032529a03f9.png"/><Relationship Id="rId14" Type="http://schemas.openxmlformats.org/officeDocument/2006/relationships/image" Target="media/3d9c399833b6b55d7a6ad52d90c39978902107a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2026-07-25T08:32:53.401Z</dcterms:created>
  <dcterms:modified xsi:type="dcterms:W3CDTF">2026-07-25T08:32:53.402Z</dcterms:modified>
</cp:coreProperties>
</file>

<file path=docProps/custom.xml><?xml version="1.0" encoding="utf-8"?>
<Properties xmlns="http://schemas.openxmlformats.org/officeDocument/2006/custom-properties" xmlns:vt="http://schemas.openxmlformats.org/officeDocument/2006/docPropsVTypes"/>
</file>