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2 July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HarmBench 512-token reference budget · artifact-derived claim registry</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360"/>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(its research design, experimental methodology, analysis, and interpretation) is the product of my own work, although I have received assistance on software implementation, language, and presentation as acknowledged herein.</w:t>
      </w:r>
    </w:p>
    <w:p>
      <w:pPr>
        <w:spacing w:after="160" w:line="360"/>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Every reported numerical result is computed by the committed code from the recorded experimental records; no result has been altered, fabricated, or selectively reported. The per-generation raw records are retained locally and pinned by cryptographic hash rather than committed to the public repository, so a third party reproduces the results either by re-running the pipeline from the committed configuration and source code, or by replaying the committed redacted score sidecars — not by recomputing from raw generations on a fresh clone.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360"/>
        <w:jc w:val="left"/>
      </w:pPr>
      <w:r>
        <w:rPr>
          <w:rFonts w:ascii="Times New Roman" w:cs="Times New Roman" w:eastAsia="Times New Roman" w:hAnsi="Times New Roman"/>
          <w:sz w:val="24"/>
          <w:szCs w:val="24"/>
        </w:rPr>
        <w:t xml:space="preserve">Tan Uei Horng  (UTAN001)</w:t>
      </w:r>
    </w:p>
    <w:p>
      <w:pPr>
        <w:spacing w:after="30" w:line="360"/>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360"/>
        <w:jc w:val="left"/>
      </w:pPr>
      <w:r>
        <w:rPr>
          <w:rFonts w:ascii="Times New Roman" w:cs="Times New Roman" w:eastAsia="Times New Roman" w:hAnsi="Times New Roman"/>
          <w:sz w:val="24"/>
          <w:szCs w:val="24"/>
        </w:rPr>
        <w:t xml:space="preserve">Date:  2 July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most commonly four-bit, has become the de facto method for fitting them into available memory. Quantization is not behaviourally neutral: it can alter safety alignment, refusal calibration, and general capability. Yet reports disagree, and two measurement problems confound them: a brittle refusal-matching scorer can over-count “attack success,” and the number of tokens a model is allowed to generate during evaluation can manufacture or hide a safety effect outright. This thesis asks whether the safety changes attributed to quantization are genuine alignment shifts or artefacts of capability loss, invalid scoring, or truncated generation.</w:t>
      </w:r>
    </w:p>
    <w:p>
      <w:pPr>
        <w:spacing w:after="160" w:line="360"/>
        <w:jc w:val="both"/>
      </w:pPr>
      <w:r>
        <w:rPr>
          <w:rFonts w:ascii="Times New Roman" w:cs="Times New Roman" w:eastAsia="Times New Roman" w:hAnsi="Times New Roman"/>
          <w:sz w:val="24"/>
          <w:szCs w:val="24"/>
        </w:rPr>
        <w:t xml:space="preserve">It contributes an open, reproducible benchmarking framework built around a matched-pair design (baseline and quantized members are loaded from identical weights, with quantization applied on the fly at load time)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Two scope controls apply throughout: the safety prompts are HarmBench’s standard harmful behaviours presented directly, with no adversarial attack augmentation, so ASR measures harmful compliance under direct requests; and generation uses HarmBench’s own standardized 512-token evaluation budget as the primary configuration, with an initial 128-token run retained as a controlled comparison. A capability-anchored interpretation layer separates genuine alignment shifts from capability degradation, and all deltas carry paired-bootstrap confidence intervals and McNemar exact tests.</w:t>
      </w:r>
    </w:p>
    <w:p>
      <w:pPr>
        <w:spacing w:after="160" w:line="360"/>
        <w:jc w:val="both"/>
      </w:pPr>
      <w:r>
        <w:rPr>
          <w:rFonts w:ascii="Times New Roman" w:cs="Times New Roman" w:eastAsia="Times New Roman" w:hAnsi="Times New Roman"/>
          <w:sz w:val="24"/>
          <w:szCs w:val="24"/>
        </w:rPr>
        <w:t xml:space="preserve">Three findings result. First, methodologically, the scorer and the generation budget each determine the conclusion. The refusal regex systematically over-counts harmful compliance (its harmful set is a near-strict superset of the classifier’s; judge-versus-regex agreement is family-dependent, Cohen’s κ 0.25 to 0.84). And the original 128-token budget had truncated 60.3 percent of generations mid-answer, manufacturing an apparent safety regression in the smallest model (Qwen3-1.7B, ΔASR = +0.055, then significant) that dissolves entirely at the reference budget (ΔASR = 0.000 under the classifier and +0.005 under the second judge, McNemar p = 1.000 under both). Second, empirically, at the 512-token reference budget no pair shows a significant increase in harmful compliance under four-bit NF4: not one HarmBench contrast survives a Benjamini-Hochberg correction, the only individually significant delta is a decrease (Llama-3.2-3B, −0.040), and the effects that do survive multiplicity correction are capability losses and one benign-direction over-refusal change — the latter most plausibly a measurement artifact of the regex scorer, since an independent three-class refusal judge does not reproduce it and a blinded human audit finds that judge substantially better aligned with the annotator than the regex on this construct (§7.2); a validation-informed parallel correction with over-refusal scored by that judge leaves two survivors, both capability effects (§6.7), and no scorer finds a statistically significant over-refusal increase in any pair. Third, the three-precision sweep shows capability loss is a clean cliff at four-bit (INT8 is essentially free), and the one INT8-specific safety increase seen at 128 tokens likewise vanishes at the reference budget. The overall picture is a rigorous, power-bounded null on the safety axis under direct requests, with capability degradation as the robust, budget-invariant cost of four-bit quantization.</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360"/>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360"/>
        <w:jc w:val="left"/>
      </w:pPr>
      <w:r>
        <w:rPr>
          <w:rFonts w:ascii="Times New Roman" w:cs="Times New Roman" w:eastAsia="Times New Roman" w:hAnsi="Times New Roman"/>
          <w:sz w:val="24"/>
          <w:szCs w:val="24"/>
        </w:rPr>
        <w:t xml:space="preserve">Table 3.1  Model pairs, families, and parameter scales.</w:t>
      </w:r>
    </w:p>
    <w:p>
      <w:pPr>
        <w:spacing w:after="60" w:line="360"/>
        <w:jc w:val="left"/>
      </w:pPr>
      <w:r>
        <w:rPr>
          <w:rFonts w:ascii="Times New Roman" w:cs="Times New Roman" w:eastAsia="Times New Roman" w:hAnsi="Times New Roman"/>
          <w:sz w:val="24"/>
          <w:szCs w:val="24"/>
        </w:rPr>
        <w:t xml:space="preserve">Table 3.2  Benchmarks, primary metrics, and sample budgets.</w:t>
      </w:r>
    </w:p>
    <w:p>
      <w:pPr>
        <w:spacing w:after="60" w:line="360"/>
        <w:jc w:val="left"/>
      </w:pPr>
      <w:r>
        <w:rPr>
          <w:rFonts w:ascii="Times New Roman" w:cs="Times New Roman" w:eastAsia="Times New Roman" w:hAnsi="Times New Roman"/>
          <w:sz w:val="24"/>
          <w:szCs w:val="24"/>
        </w:rPr>
        <w:t xml:space="preserve">Table 3.3  Interpretation labels derived from combined deltas.</w:t>
      </w:r>
    </w:p>
    <w:p>
      <w:pPr>
        <w:spacing w:after="60" w:line="360"/>
        <w:jc w:val="left"/>
      </w:pPr>
      <w:r>
        <w:rPr>
          <w:rFonts w:ascii="Times New Roman" w:cs="Times New Roman" w:eastAsia="Times New Roman" w:hAnsi="Times New Roman"/>
          <w:sz w:val="24"/>
          <w:szCs w:val="24"/>
        </w:rPr>
        <w:t xml:space="preserve">Table 5.1  Experimental configuration summary.</w:t>
      </w:r>
    </w:p>
    <w:p>
      <w:pPr>
        <w:spacing w:after="60" w:line="360"/>
        <w:jc w:val="left"/>
      </w:pPr>
      <w:r>
        <w:rPr>
          <w:rFonts w:ascii="Times New Roman" w:cs="Times New Roman" w:eastAsia="Times New Roman" w:hAnsi="Times New Roman"/>
          <w:sz w:val="24"/>
          <w:szCs w:val="24"/>
        </w:rPr>
        <w:t xml:space="preserve">Table 6.1  Judge-versus-regex agreement (Cohen’s κ) by model family.</w:t>
      </w:r>
    </w:p>
    <w:p>
      <w:pPr>
        <w:spacing w:after="60" w:line="360"/>
        <w:jc w:val="left"/>
      </w:pPr>
      <w:r>
        <w:rPr>
          <w:rFonts w:ascii="Times New Roman" w:cs="Times New Roman" w:eastAsia="Times New Roman" w:hAnsi="Times New Roman"/>
          <w:sz w:val="24"/>
          <w:szCs w:val="24"/>
        </w:rPr>
        <w:t xml:space="preserve">Table 6.2  Main study at the 512-token reference budget: per-pair deltas and labels (fp16 vs NF4).</w:t>
      </w:r>
    </w:p>
    <w:p>
      <w:pPr>
        <w:spacing w:after="60" w:line="360"/>
        <w:jc w:val="left"/>
      </w:pPr>
      <w:r>
        <w:rPr>
          <w:rFonts w:ascii="Times New Roman" w:cs="Times New Roman" w:eastAsia="Times New Roman" w:hAnsi="Times New Roman"/>
          <w:sz w:val="24"/>
          <w:szCs w:val="24"/>
        </w:rPr>
        <w:t xml:space="preserve">Table 6.3  Precision sweep: HarmBench ASR at fp16 / INT8 / NF4 (judge).</w:t>
      </w:r>
    </w:p>
    <w:p>
      <w:pPr>
        <w:spacing w:after="60" w:line="360"/>
        <w:jc w:val="left"/>
      </w:pPr>
      <w:r>
        <w:rPr>
          <w:rFonts w:ascii="Times New Roman" w:cs="Times New Roman" w:eastAsia="Times New Roman" w:hAnsi="Times New Roman"/>
          <w:sz w:val="24"/>
          <w:szCs w:val="24"/>
        </w:rPr>
        <w:t xml:space="preserve">Figure 1  Study design: matched pairs, the precision arm, the benchmark battery, and the inference pipeline.</w:t>
      </w:r>
    </w:p>
    <w:p>
      <w:pPr>
        <w:spacing w:after="60" w:line="360"/>
        <w:jc w:val="left"/>
      </w:pPr>
      <w:r>
        <w:rPr>
          <w:rFonts w:ascii="Times New Roman" w:cs="Times New Roman" w:eastAsia="Times New Roman" w:hAnsi="Times New Roman"/>
          <w:sz w:val="24"/>
          <w:szCs w:val="24"/>
        </w:rPr>
        <w:t xml:space="preserve">Figure 2  System architecture: configuration, execution, benchmark plugins, scoring, and analysis.</w:t>
      </w:r>
    </w:p>
    <w:p>
      <w:pPr>
        <w:spacing w:after="60" w:line="360"/>
        <w:jc w:val="left"/>
      </w:pPr>
      <w:r>
        <w:rPr>
          <w:rFonts w:ascii="Times New Roman" w:cs="Times New Roman" w:eastAsia="Times New Roman" w:hAnsi="Times New Roman"/>
          <w:sz w:val="24"/>
          <w:szCs w:val="24"/>
        </w:rPr>
        <w:t xml:space="preserve">Figure 3  TC1 execution model: workstation, head node, GPU compute node, and the return path.</w:t>
      </w:r>
    </w:p>
    <w:p>
      <w:pPr>
        <w:spacing w:after="60" w:line="360"/>
        <w:jc w:val="left"/>
      </w:pPr>
      <w:r>
        <w:rPr>
          <w:rFonts w:ascii="Times New Roman" w:cs="Times New Roman" w:eastAsia="Times New Roman" w:hAnsi="Times New Roman"/>
          <w:sz w:val="24"/>
          <w:szCs w:val="24"/>
        </w:rPr>
        <w:t xml:space="preserve">Figure 4  Scorer validation: judge ASR vs regex proxy, and judge-vs-proxy Cohen’s κ.</w:t>
      </w:r>
    </w:p>
    <w:p>
      <w:pPr>
        <w:spacing w:after="60" w:line="360"/>
        <w:jc w:val="left"/>
      </w:pPr>
      <w:r>
        <w:rPr>
          <w:rFonts w:ascii="Times New Roman" w:cs="Times New Roman" w:eastAsia="Times New Roman" w:hAnsi="Times New Roman"/>
          <w:sz w:val="24"/>
          <w:szCs w:val="24"/>
        </w:rPr>
        <w:t xml:space="preserve">Figure 5  The capability-anchored safety space (ΔMMLU vs judge ΔASR, with label regions).</w:t>
      </w:r>
    </w:p>
    <w:p>
      <w:pPr>
        <w:spacing w:after="60" w:line="360"/>
        <w:jc w:val="left"/>
      </w:pPr>
      <w:r>
        <w:rPr>
          <w:rFonts w:ascii="Times New Roman" w:cs="Times New Roman" w:eastAsia="Times New Roman" w:hAnsi="Times New Roman"/>
          <w:sz w:val="24"/>
          <w:szCs w:val="24"/>
        </w:rPr>
        <w:t xml:space="preserve">Figure 6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360"/>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(the models most likely to run locally), four-bit quantization has become routine.</w:t>
      </w:r>
    </w:p>
    <w:p>
      <w:pPr>
        <w:spacing w:after="160" w:line="360"/>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360"/>
        <w:jc w:val="both"/>
      </w:pPr>
      <w:r>
        <w:rPr>
          <w:rFonts w:ascii="Times New Roman" w:cs="Times New Roman" w:eastAsia="Times New Roman" w:hAnsi="Times New Roman"/>
          <w:sz w:val="24"/>
          <w:szCs w:val="24"/>
        </w:rPr>
        <w:t xml:space="preserve">Three difficulties make this question hard to answer credibly. The first is confounding: a quantized model can differ from a full-precision one for reasons that have nothing to do with quantization: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The third is the generation budget: the number of tokens a model may generate during evaluation changes the measured attack-success rate drastically (the HarmBench authors show swings of up to 30 percent and standardize the budget to 512 tokens for exactly this reason [3]); a truncated budget scores incomplete answers, and where the cut falls can flip a label in either direction. A study that does not control confounding, scoring validity, and the generation budget cannot distinguish a genuine alignment shift from a capability, scoring, or truncation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360"/>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360"/>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360"/>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360"/>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360"/>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360"/>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360"/>
        <w:jc w:val="both"/>
      </w:pPr>
      <w:r>
        <w:rPr>
          <w:rFonts w:ascii="Times New Roman" w:cs="Times New Roman" w:eastAsia="Times New Roman" w:hAnsi="Times New Roman"/>
          <w:sz w:val="24"/>
          <w:szCs w:val="24"/>
        </w:rPr>
        <w:t xml:space="preserve">This thesis makes five contributions, and the first two have consequences beyond this study. One is a scorer-validity result: a refusal-counting scorer systematically over-counts attack success (its harmful set is a near-strict superset of the benchmark classifier’s), and adopting HarmBench’s own classifier, cross-checked by a second independent judge, changes the study’s conclusion. The other is a generation-budget result: the original 128-token budget truncated 60.3 percent of generations and thereby manufactured a statistically significant safety regression that does not exist at HarmBench’s standardized 512-token budget; safety evaluations that truncate generations can report effects that are artefacts of where the cut falls. The third contribution is methodological: a controlled, capability-anchored, judge-validated procedure at the benchmark’s own reference budget that isolates quantization (matched-pair, on-the-fly) and distinguishes genuine alignment shifts from capability degradation. The fourth is empirical: across five matched pairs, four families, three precisions, and two generation budgets, the multiplicity-robust cost of four-bit quantization is capability loss; harmful compliance under direct requests never rises significantly in any pair at the reference budget. The fifth is an engineering one: an open, reproducible, extensible framework (matched-pair loading, a benchmark-plugin contract, a judge-validation layer, cluster orchestration, and a machine claim lock that verifies every reported number against the committed artefacts)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360"/>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360"/>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can degrade safety alignment, with effects that vary by method and attack type [4], [5]; a comprehensive multi-benchmark evaluation finds headline scores largely retained at four bits while cautioning that narrow evaluations can miss shifts on other behavioural dimensions [6]; and some show that quantization can be actively exploited to surface unsafe behaviour [7]. Closest to this thesis’s headline, Hong et al. [8] scrutinise trustworthiness across five compression methods and eight trust dimensions and report that four-bit quantization broadly preserves trustworthiness — unlike pruning, which degrades it, and unlike more extreme three-bit compression, where erosion appears — the nearest prior analogue to the null-safety-at-four-bit picture found here, though their study covers larger models and a different trust taxonomy.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360"/>
        <w:jc w:val="both"/>
      </w:pPr>
      <w:r>
        <w:rPr>
          <w:rFonts w:ascii="Times New Roman" w:cs="Times New Roman" w:eastAsia="Times New Roman" w:hAnsi="Times New Roman"/>
          <w:sz w:val="24"/>
          <w:szCs w:val="24"/>
        </w:rPr>
        <w:t xml:space="preserve">HarmBench [3] provides a standardized red-teaming benchmark with an explicit behaviour taxonomy and a fine-tuned classifier that scores whether a response actually exhibits the harmful behaviour, a deliberate move away from refusal-string matching. XSTest [9] measures the opposite failure mode, over-refusal on benign prompts. Holistic frameworks such as HELM [10] formalise the idea that evaluation should be multi-metric and transparent. This thesis adopts HarmBench’s classifier-as-scorer principle [3] as its primary instrument and treats refusal-matching only as a foil. One scope boundary is stated at the outset: HarmBench is a red-teaming framework whose full pipeline applies optimisation-based and LLM-mediated attacks; this study evaluates its standard harmful behaviours presented directly, with no attack augmentation, so its safety axis measures harmful compliance under direct requests, the weakest threat model in the HarmBench taxonomy.</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360"/>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catalogue the approach’s validity threats and mitigations [11], and critical studies show that judge scores can diverge systematically from human judgment, so judge-based results need validation and, ideally, human grounding [12]. This thesis follows that guidance (a primary classifier, a second independent judge, κ reporting, bootstrap confidence intervals) and adds a human-label validation on a stratified 200-item subset — a single-annotator gold set that was, until now, the one safeguard it lacked.</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360"/>
        <w:jc w:val="both"/>
      </w:pPr>
      <w:r>
        <w:rPr>
          <w:rFonts w:ascii="Times New Roman" w:cs="Times New Roman" w:eastAsia="Times New Roman" w:hAnsi="Times New Roman"/>
          <w:sz w:val="24"/>
          <w:szCs w:val="24"/>
        </w:rPr>
        <w:t xml:space="preserve">Three observations define the gap this thesis addresses. First, the quantization–safety literature reports inconsistent, method- and model-dependent effects [4]–[5],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 judge literature cautions that their reliability must itself be evaluated rather than assumed [11], [12], yet the benchmark’s own fine-tuned classifier exists precisely to avoid this [3]. Third, studies that do measure quantization rarely separate a safety change from a capability change, almost none trace the effect across more than one precision or quantization method, and almost none evaluate at the benchmark’s own standardized generation budget, even though the measured attack-success rate depends drastically on it [3].</w:t>
      </w:r>
    </w:p>
    <w:p>
      <w:pPr>
        <w:spacing w:after="160" w:line="360"/>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360"/>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360"/>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spacing w:after="60" w:before="140"/>
        <w:jc w:val="center"/>
      </w:pPr>
      <w:r>
        <w:drawing>
          <wp:inline distT="0" distB="0" distL="0" distR="0">
            <wp:extent cx="4953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360"/>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360"/>
        <w:jc w:val="both"/>
      </w:pPr>
      <w:r>
        <w:rPr>
          <w:rFonts w:ascii="Times New Roman" w:cs="Times New Roman" w:eastAsia="Times New Roman" w:hAnsi="Times New Roman"/>
          <w:sz w:val="24"/>
          <w:szCs w:val="24"/>
        </w:rPr>
        <w:t xml:space="preserve">Four benchmarks span the two axes of interest. Harmful compliance (HarmBench [3]) and over-refusal (XSTest [9]) capture safety; MMLU [13] and ARC-Challenge [14]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spacing w:after="160" w:line="360"/>
        <w:jc w:val="both"/>
      </w:pPr>
      <w:r>
        <w:rPr>
          <w:rFonts w:ascii="Times New Roman" w:cs="Times New Roman" w:eastAsia="Times New Roman" w:hAnsi="Times New Roman"/>
          <w:sz w:val="24"/>
          <w:szCs w:val="24"/>
        </w:rPr>
        <w:t xml:space="preserve">A threat-model boundary applies to the safety axis. The HarmBench standard configuration supplies curated harmful behaviour requests directly, and this study applies no adversarial attack or jailbreak transformation on top of them (no GCG, PAIR, AutoDAN, or any other attack pipeline from the HarmBench suite). Attack Success Rate in this thesis therefore measures harmful compliance under direct requests, equivalent to HarmBench’s DirectRequest baseline and the weakest threat model in its taxonomy, not robustness to optimised adversarial attack. Attack-augmented evaluation is future work (Chapter 9).</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360"/>
        <w:jc w:val="both"/>
      </w:pPr>
      <w:r>
        <w:rPr>
          <w:rFonts w:ascii="Times New Roman" w:cs="Times New Roman" w:eastAsia="Times New Roman" w:hAnsi="Times New Roman"/>
          <w:sz w:val="24"/>
          <w:szCs w:val="24"/>
        </w:rPr>
        <w:t xml:space="preserve">HarmBench Attack Success Rate is scored by the official HarmBench classifier (cais/HarmBench-Llama-2-13b-cls) [3] — prompted with the Hugging Face model-card template rather than the GitHub evaluation-harness variant, so absolute ASR levels are not directly harness-comparable while matched-pair deltas are unaffected — run in full precision so that the reference instrument is not itself confounded by quantization. A second, architecturally independent judge (GPT-4o; run 2026-06-14 — the API alias’s dated snapshot was not recorded, so the revision-pinned open-weight LlamaGuard third judge is the reproducible arm) re-scores the same generations as a robustness check; independent validation of judge scores is exactly what the LLM-as-judge literature urges [11], [12]. It applies a condensed one-sentence yes/no rubric that encodes the same harmful-behaviour criterion as the HarmBench classifier rather than the classifier’s full enumerated template.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deterministic regex as the primary scorer, cross-checked by an independent three-class refusal judge as a sensitivity layer (§7.2). XSTest’s own evaluation relies on LLM-based three-way labelling (full compliance / partial refusal / full refusal) rather than a released fine-tuned classifier; this study retains regex parsing as a deliberate, reproducibility-motivated deviation that yields a coarser binary refusal / non-refusal construct (the HarmBench classifier itself judges harmful compliance only, so it does not cover over-refusal), and adds the three-class judge only as a cross-check.</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360"/>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360"/>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Generation uses HarmBench’s standardized 512-token evaluation budget as the primary configuration: the HarmBench authors show the number of tokens generated during evaluation can change the measured attack-success rate by up to 30 percent and standardize the parameter to N = 512 for exactly that reason [3]. An initial 128-token run is retained, unchanged, as a controlled generation-length comparison (§6.3). Deltas carry paired-bootstrap 95% confidence intervals [15] (2,000 resamples, seed 42), resampled by prompt identity so that both members of a pair see the same prompts in the same order. (One reproducibility detail: the judge HarmBench ASR intervals in the 128-vs-512 comparison of §6.3 use a higher-resolution 10,000-resample paired bootstrap at the same seed; all other intervals use 2,000, and both are percentile intervals replayable from the committed sidecars.) Every HarmBench contrast is tested with McNemar’s exact paired test [16]; significance is reported both uncorrected and under a Benjamini-Hochberg false-discovery-rate correction [17] over the twenty-contrast primary family; a power analysis (Connor’s normal-approximation treatment of the paired McNemar design [18]) reports the minimum detectable effect (about 0.06 at n = 200 for the representative pair, with the five pairs spanning 0.044–0.086); and a multi-seed sensitivity arm (temperature 0.7, five seeds, all five pairs) estimates generation-level variance.</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360"/>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spacing w:after="60" w:before="140"/>
        <w:jc w:val="center"/>
      </w:pPr>
      <w:r>
        <w:drawing>
          <wp:inline distT="0" distB="0" distL="0" distR="0">
            <wp:extent cx="4953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360"/>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360"/>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the automated test suite and an artifact-derived machine claim registry cover the schema, loaders, scorers, analysis mathematics, cluster job generator, and every registered document surface.</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360"/>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360"/>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The full apparatus ran at two generation budgets: the 512-token primary study (HarmBench’s standardized evaluation budget) and an initial 128-token run retained unchanged as the generation-length comparison.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Threat model</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direct requests (HarmBench standard config; no attack augmentation)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512 (primary; 128 retained as comparison)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Third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Llama-Guard-3-8B (open-weight, revision-pinned)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 exact + BH-FDR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automated test suite + artifact-derived claim registry</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360"/>
        <w:jc w:val="both"/>
      </w:pPr>
      <w:r>
        <w:rPr>
          <w:rFonts w:ascii="Times New Roman" w:cs="Times New Roman" w:eastAsia="Times New Roman" w:hAnsi="Times New Roman"/>
          <w:sz w:val="24"/>
          <w:szCs w:val="24"/>
        </w:rPr>
        <w:t xml:space="preserve">The five NF4 pairs, the INT8 precision point, both judge validations, and the multi-seed sensitivity arm all ran at the 512-token reference budget (the primary study throughout, with zero classifier parse errors over 3,000 judged generations); the 128-token artefacts are retained unchanged for the generation-length comparison. The GPT-4o second judge runs as a local script that calls an external API, so for that cross-check the (public) HarmBench behaviour string and the model’s generation are transmitted off-cluster while the primary classifier runs entirely on TC1; only redacted identifier-and-boolean sidecars are stored. The study’s entire analysis is reproducible from the committed redacted sidecars without a GPU.</w:t>
      </w:r>
    </w:p>
    <w:p>
      <w:pPr>
        <w:spacing w:after="60" w:before="14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360"/>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[19] between the regex and the classifier at the 512-token reference budget is fair-to-moderate for the Qwen and Mistral models and substantial or better for Llama and Phi (verbal bands per Landis and Koch [20]) (Table 6.1), because models that produce a large volume of ambiguous, non-refusing-but-benign text are exactly those the regex mis-scores. In aggregate the classifier’s harmful set is a near-strict subset of the regex’s (28 judge-only labels against 325 regex-only across the ten models), so the disagreement is overwhelmingly one-directional over-counting. At the retired 128-token budget, adopting the classifier had moved the significant increases wholesale: the regex placed them on Qwen3-4B and Mistral, the classifier on Qwen3-1.7B alone. At the reference budget it removes every significant increase entirely (§6.2). A stratified human-label audit (200 items, single annotator) confirms the direction against truth rather than against another model: the classifier agrees with a human annotator at Cohen’s κ 0.59 (moderate) while the regex agrees at only 0.11 (slight) — against the human’s 200 labels the regex over-flagged 101 responses as harmful to the classifier’s 18, and the human, flagging 37, applied the highest bar of the three — so refusal-counting over-states harmful compliance relative to human judgment, not merely relative to the classifier; the classifier is a better scorer, though at moderate agreement, not a perfect human proxy. In safety evaluation the choice of scorer is not a detail: it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0.36 – 0.59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to moderate; regex over-counts heavily (0.595 vs judge 0.255, 1.7B base)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 – 0.29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the lowest; regex 0.890 vs judge 0.565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0.71 – 0.84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to almost perfect;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 – 0.77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 512-token reference budget).</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Scorer validation. Left: HarmBench-classifier ASR versus the regex 'non-refusal' proxy, one marker per model: eight of ten points lie below the diagonal, so the proxy over-counts harmful compliance (worst for Qwen and Mistral); the two marginal exceptions (Llama base, Phi 4-bit) sit just above it. Right: judge-vs-proxy Cohen’s κ per model, family-dependent. Source: results_512/analysis/judge_agreement.json.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 at the reference budget</w:t>
      </w:r>
    </w:p>
    <w:p>
      <w:pPr>
        <w:spacing w:after="160" w:line="360"/>
        <w:jc w:val="both"/>
      </w:pPr>
      <w:r>
        <w:rPr>
          <w:rFonts w:ascii="Times New Roman" w:cs="Times New Roman" w:eastAsia="Times New Roman" w:hAnsi="Times New Roman"/>
          <w:sz w:val="24"/>
          <w:szCs w:val="24"/>
        </w:rPr>
        <w:t xml:space="preserve">Under the primary classifier at the 512-token reference budget, no pair shows a significant increase in harmful compliance under NF4 quantization. The only ΔASR whose confidence interval excludes zero is Llama-3.2-3B’s, and it is a decrease (−0.040, CI [−0.075, −0.010]; McNemar p = 0.021); it does not survive the multiplicity correction (§6.7).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[−0.055,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 (capability-driven)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[0.000, +0.080]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[−0.075, −0.010]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capability_collapse_masq._as_safety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[−0.080, +0.040]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[−0.015,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bl>
    <w:p>
      <w:pPr>
        <w:spacing w:after="200" w:before="60"/>
        <w:jc w:val="center"/>
      </w:pPr>
      <w:r>
        <w:rPr>
          <w:rFonts w:ascii="Times New Roman" w:cs="Times New Roman" w:eastAsia="Times New Roman" w:hAnsi="Times New Roman"/>
          <w:i/>
          <w:iCs/>
          <w:sz w:val="20"/>
          <w:szCs w:val="20"/>
        </w:rPr>
        <w:t xml:space="preserve">Table 6.2  Main study at the 512-token reference budget: per-pair judge deltas and interpretation labels (fp16 vs NF4). * capability delta significant. † individually significant (a decrease) but does not survive BH-FDR.</w:t>
      </w:r>
    </w:p>
    <w:p>
      <w:pPr>
        <w:spacing w:after="160" w:line="360"/>
        <w:jc w:val="both"/>
      </w:pPr>
      <w:r>
        <w:rPr>
          <w:rFonts w:ascii="Times New Roman" w:cs="Times New Roman" w:eastAsia="Times New Roman" w:hAnsi="Times New Roman"/>
          <w:sz w:val="24"/>
          <w:szCs w:val="24"/>
        </w:rPr>
        <w:t xml:space="preserve">Exactly 3 primary contrasts survive BH-FDR: Qwen3-1.7B MMLU (−0.090, q = 0.008), Llama-3.2-3B ARC (−0.032, q = 0.008), Phi-4-mini over-refusal (−0.048, q = 0.012). No HarmBench ASR contrast survives.</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The capability-anchored safety space at the reference budget. Each pair is placed by its capability delta (ΔMMLU, x) and harmful-compliance delta (judge ΔASR, y); dashed lines mark the interpretation thresholds and shaded quadrants name the labels. Bars are paired-bootstrap 95% CIs. Source: results_512/analysis/{judge_agreement,pairwise_deltas}.json.</w:t>
      </w:r>
    </w:p>
    <w:p>
      <w:pPr>
        <w:spacing w:after="160" w:line="360"/>
        <w:jc w:val="both"/>
      </w:pPr>
      <w:r>
        <w:rPr>
          <w:rFonts w:ascii="Times New Roman" w:cs="Times New Roman" w:eastAsia="Times New Roman" w:hAnsi="Times New Roman"/>
          <w:sz w:val="24"/>
          <w:szCs w:val="24"/>
        </w:rPr>
        <w:t xml:space="preserve">Over-refusal moves in the benign direction where it moves at all: the only over-refusal delta significant under the exact paired test is Phi-4-mini’s decrease (ΔOR = −0.048, CI [−0.076, −0.020], under the primary regex scorer; an independent refusal judge does not reproduce it, and a blinded human audit finds that judge substantially better aligned with the annotator than the regex, so the decrease is most plausibly a measurement artifact of the regex scorer — §7.2), while Qwen3-1.7B’s smaller decrease is not significant on either criterion (−0.024, McNemar p = 0.109; its CI [−0.048, 0.000] touches zero). No pair becomes significantly more prone to over-refusal on benign prompts, under either scorer (RQ2).</w:t>
      </w:r>
    </w:p>
    <w:p>
      <w:pPr>
        <w:spacing w:after="160" w:line="360"/>
        <w:jc w:val="both"/>
      </w:pPr>
      <w:r>
        <w:rPr>
          <w:rFonts w:ascii="Times New Roman" w:cs="Times New Roman" w:eastAsia="Times New Roman" w:hAnsi="Times New Roman"/>
          <w:sz w:val="24"/>
          <w:szCs w:val="24"/>
        </w:rPr>
        <w:t xml:space="preserve">The Qwen3-1.7B pair, whose +0.055 increase was the study’s original headline at the 128-token budget, is exactly zero at the reference budget: its thirty-two discordant prompts split sixteen against sixteen, the signature of symmetric boundary churn rather than a directional alignment shift (§6.5).</w:t>
      </w:r>
    </w:p>
    <w:p>
      <w:pPr>
        <w:pStyle w:val="Heading2"/>
        <w:spacing w:after="140" w:before="200"/>
      </w:pPr>
      <w:r>
        <w:rPr>
          <w:rFonts w:ascii="Times New Roman" w:cs="Times New Roman" w:eastAsia="Times New Roman" w:hAnsi="Times New Roman"/>
          <w:b/>
          <w:bCs/>
          <w:sz w:val="27"/>
          <w:szCs w:val="27"/>
        </w:rPr>
        <w:t xml:space="preserve">6.3  The generation-budget artefact (why 512 tokens is the primary budget)</w:t>
      </w:r>
    </w:p>
    <w:p>
      <w:pPr>
        <w:spacing w:after="160" w:line="360"/>
        <w:jc w:val="both"/>
      </w:pPr>
      <w:r>
        <w:rPr>
          <w:rFonts w:ascii="Times New Roman" w:cs="Times New Roman" w:eastAsia="Times New Roman" w:hAnsi="Times New Roman"/>
          <w:sz w:val="24"/>
          <w:szCs w:val="24"/>
        </w:rPr>
        <w:t xml:space="preserve">The 128-token budget of the study’s first run truncated the majority of generations before completion: a direct prefix test shows 60.3 percent of the 2,000 paired responses were provably cut off (the 512-token generation continues past the point where the 128-token one stops), 30.5 percent stop naturally, and 9.2 percent diverge between the two nominally greedy runs (benign cross-run non-determinism, conservatively excluded, which makes 60.3 percent a floor). Truncation is family-heterogeneous (93.5–98.0 percent for Mistral, 3.0–4.0 percent for Llama), so the mechanism is family-specific even though the conclusion is not. The HarmBench authors show the number of tokens generated during evaluation can change measured attack-success rates by up to 30 percent and standardize the parameter to N = 512 for exactly this reason [3]; the official evaluation harness likewise clips completions to 512 tokens before classification. Re-running the full apparatus at that budget dissolves the apparent safety regression: Qwen3-1.7B’s ΔASR goes from +0.055 (then significant, McNemar p = 0.027) at 128 tokens to exactly 0.000 under the classifier (p = 1.000) at 512, with the second judge at +0.005 (also p = 1.000). A five-seed stochastic-decoding arm at the reference budget corroborates the null (per-seed ΔASR mean +0.013, range [0.000, +0.035], no seed individually significant, and the greedy estimate sits inside the range; all five seed deltas are non-negative, a sub-minimum-detectable-effect directional signal disclosed rather than glossed). The arm has since been extended to all five pairs. Qwen3-4B’s per-seed ΔASR mean is +0.029, range [+0.010, +0.050] (1 of 5 seeds individually significant; greedy +0.040 inside the range); Llama’s is −0.024, range [−0.040, −0.010] (2 of 5 seeds individually significant, both decreases; greedy −0.040 inside the range); Mistral’s is +0.012, range [−0.005, +0.045] (0 of 5); and Phi’s is −0.012, range [−0.055, +0.015] (1 of 5). For the two cross-family pairs the greedy estimate falls marginally outside the seed range with a sign flip — Mistral’s greedy −0.020 just below [−0.005, +0.045], Phi’s greedy +0.020 just above [−0.055, +0.015] — small, sign-unstable gaps (each ≤0.04) around seed means that are themselves near zero (Mistral +0.012, Phi −0.012), not a directional signal the greedy run missed. This is not read off a single detection floor: per-pair minimum detectable effects vary (0.044–0.086 at n = 200), and one Phi seed is itself individually significant at −0.055 (McNemar p = 0.043) — a decrease, and one of five, so it does not lift the pair-level reading. No pair shows a sign-consistent majority of individually significant seeds, so the stochastic arm corroborates the null across all five pairs. The capability deltas, by contrast, are essentially unchanged across budgets: truncation manufactured the safety signal, not the capability one.</w:t>
      </w:r>
    </w:p>
    <w:p>
      <w:pPr>
        <w:pStyle w:val="Heading2"/>
        <w:spacing w:after="140" w:before="200"/>
      </w:pPr>
      <w:r>
        <w:rPr>
          <w:rFonts w:ascii="Times New Roman" w:cs="Times New Roman" w:eastAsia="Times New Roman" w:hAnsi="Times New Roman"/>
          <w:b/>
          <w:bCs/>
          <w:sz w:val="27"/>
          <w:szCs w:val="27"/>
        </w:rPr>
        <w:t xml:space="preserve">6.4  Capability anchoring (RQ3)</w:t>
      </w:r>
    </w:p>
    <w:p>
      <w:pPr>
        <w:spacing w:after="160" w:line="360"/>
        <w:jc w:val="both"/>
      </w:pPr>
      <w:r>
        <w:rPr>
          <w:rFonts w:ascii="Times New Roman" w:cs="Times New Roman" w:eastAsia="Times New Roman" w:hAnsi="Times New Roman"/>
          <w:sz w:val="24"/>
          <w:szCs w:val="24"/>
        </w:rPr>
        <w:t xml:space="preserve">Every pair’s capability point estimates are non-positive under NF4 at the reference budget, with one negligible exception (Mistral’s +0.9 percentage points on ARC, not significant). The loss is significant for Qwen3-1.7B on MMLU (−0.090, the study’s largest single effect), for Llama-3B on ARC (−0.032), and for Qwen3-4B on ARC (−0.016). The two capability benchmarks diverge informatively: Qwen3-1.7B’s large MMLU drop does not replicate on ARC (−0.009, not significant), so under that parser the dramatic within-Qwen scale gap looks partly MMLU-specific. This apparent divergence is, however, a parsing artefact rather than genuine MMLU-specificity. The option-letter parser falls back to a lenient “first in-range capital letter anywhere” scan when a response neither leads with the option letter nor states an explicit “answer is X”. For qwen_2b_4bit that fallback fires on 48.7 percent of MMLU items and 52.3 percent of ARC items, versus about 3 percent at fp16. It salvages the format-broken ARC answers more accurately (66 percent) than the MMLU ones (46 percent, against the leading-letter rule’s 75 percent), and so masks the ARC loss. Part of the −0.090 gap therefore reflects a shift in answer format that the lenient parser scores less reliably, not only lost knowledge. Under a strict parser that scores an unparsable answer incorrect, ARC falls −0.343 and MMLU −0.293 — comparable large losses on both; the ARC drop above, scored by an identical protocol for both members, thus corroborates the direction of the loss while its lenient near-zero magnitude reflects parser salvage, not immunity. Each benchmark’s loss is honestly a bracket whose lenient end tracks answer-knowledge (largely preserved, since the salvaged answers are 66 percent correct) and whose strict end tracks format-compliant answering, and answer-format parsing is a third measurement-dependence axis alongside the harm and over-refusal scorers. The capability anchor is what allows the safety deltas to be read correctly: the smallest Qwen pair is a capability story with a flat harm axis, and Llama’s harm decrease arrives together with its capability loss, so its lower ASR is more consistent with a capability side-effect than with a genuine alignment improvement. That is why it carries the capability-collapse-masquerading-as-safety label, which encodes the correlation between the two axes; the label does not by itself establish that the capability loss caused the safety change.</w:t>
      </w:r>
    </w:p>
    <w:p>
      <w:pPr>
        <w:pStyle w:val="Heading2"/>
        <w:spacing w:after="140" w:before="200"/>
      </w:pPr>
      <w:r>
        <w:rPr>
          <w:rFonts w:ascii="Times New Roman" w:cs="Times New Roman" w:eastAsia="Times New Roman" w:hAnsi="Times New Roman"/>
          <w:b/>
          <w:bCs/>
          <w:sz w:val="27"/>
          <w:szCs w:val="27"/>
        </w:rPr>
        <w:t xml:space="preserve">6.5  Mechanism: refusal-margin geometry</w:t>
      </w:r>
    </w:p>
    <w:p>
      <w:pPr>
        <w:spacing w:after="160" w:line="360"/>
        <w:jc w:val="both"/>
      </w:pPr>
      <w:r>
        <w:rPr>
          <w:rFonts w:ascii="Times New Roman" w:cs="Times New Roman" w:eastAsia="Times New Roman" w:hAnsi="Times New Roman"/>
          <w:sz w:val="24"/>
          <w:szCs w:val="24"/>
        </w:rPr>
        <w:t xml:space="preserve">To probe the boundary behaviour behind the 128-token signal, a derived analysis measured each model’s first-token refusal margin in fp16 and under NF4, following the observation that quantization most affects low-confidence, near-boundary decisions [21]. A thin baseline margin does predict which prompts flip, but only weakly within a family, and the flips are symmetric: quantization destabilises the decision boundary in both directions rather than eroding refusals one-directionally. This mechanism reading is budget-invariant, and at the reference budget its signature is visible directly in the outcome data: the Qwen3-1.7B pair’s thirty-two discordant prompts split exactly sixteen to sixteen.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6.6  Precision point: fp16 → INT8 → NF4 (RQ5)</w:t>
      </w:r>
    </w:p>
    <w:p>
      <w:pPr>
        <w:spacing w:after="160" w:line="360"/>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every INT8 MMLU and ARC point estimate sits within about 1.3 percentage points of fp16 — paired per-item McNemar contrasts, none significant — far below the two multiplicity-robust NF4 losses of three to nine points, while the significant capability losses are all at NF4. On safety, at the reference budget there is no robust move at either precision step. The one apparent counter-example from the 128-token run, a Llama-3B increase specific to INT8 (+0.040, then significant under both judges), does not replicate at 512 tokens under either judge (classifier Δ+0.005, McNemar p = 1.000; GPT-4o Δ+0.010, p = 0.688): it was a 128-era budget artefact — attributable, since Llama truncates at only 3–4 percent (§6.3), to cross-run greedy divergence on thin-margin prompts rather than to truncation — not a stable property of LLM.int8 on this model.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 (judge ASR)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the capability cliff is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graded drift, n.s. at each step</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at INT8; decrease at NF4 (individually sig)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decrease, n.s.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increase, n.s.</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 512-token reference budget).</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Precision sweep fp16 → INT8 → NF4 at the reference budget. Capability (MMLU, ARC) is essentially flat through INT8 and falls only at four-bit (a cliff, not a gradient); the safety axis (judge ASR) shows no robust move at either step. Source: results_512/analysis/precision_sweep.json.</w:t>
      </w:r>
    </w:p>
    <w:p>
      <w:pPr>
        <w:pStyle w:val="Heading2"/>
        <w:spacing w:after="140" w:before="200"/>
      </w:pPr>
      <w:r>
        <w:rPr>
          <w:rFonts w:ascii="Times New Roman" w:cs="Times New Roman" w:eastAsia="Times New Roman" w:hAnsi="Times New Roman"/>
          <w:b/>
          <w:bCs/>
          <w:sz w:val="27"/>
          <w:szCs w:val="27"/>
        </w:rPr>
        <w:t xml:space="preserve">6.7  Statistical robustness: multiplicity, power, and what survives</w:t>
      </w:r>
    </w:p>
    <w:p>
      <w:pPr>
        <w:spacing w:after="160" w:line="360"/>
        <w:jc w:val="both"/>
      </w:pPr>
      <w:r>
        <w:rPr>
          <w:rFonts w:ascii="Times New Roman" w:cs="Times New Roman" w:eastAsia="Times New Roman" w:hAnsi="Times New Roman"/>
          <w:sz w:val="24"/>
          <w:szCs w:val="24"/>
        </w:rPr>
        <w:t xml:space="preserve">With 200 HarmBench prompts the confidence intervals are wide (about ±0.05), and a power analysis [18] makes the detection floor explicit: at n = 200 and the observed discordant rates, the minimum detectable ΔASR for 80 percent power is about 0.06 at the representative (median-discordant) pair, with the five pairs spanning 0.044–0.086. The predominance of nulls on the safety axis is therefore a power-bounded null (“no detectable change at n = 200”), not a proven zero, and the multi-seed sign-consistency for the smallest pair (§6.3) is compatible with a real effect below that floor.</w:t>
      </w:r>
    </w:p>
    <w:p>
      <w:pPr>
        <w:spacing w:after="160" w:line="360"/>
        <w:jc w:val="both"/>
      </w:pPr>
      <w:r>
        <w:rPr>
          <w:rFonts w:ascii="Times New Roman" w:cs="Times New Roman" w:eastAsia="Times New Roman" w:hAnsi="Times New Roman"/>
          <w:sz w:val="24"/>
          <w:szCs w:val="24"/>
        </w:rPr>
        <w:t xml:space="preserve">Applying a Benjamini-Hochberg false-discovery-rate correction (q &lt; 0.05) over the family of twenty primary NF4-versus-fp16 contrasts (exact McNemar p per contrast; results_512/analysis/multiple_comparisons.json), exactly three survive, and none is a harmful-compliance change: Qwen3-1.7B MMLU (−0.090, q = 0.008), Llama-3B ARC (−0.032, q = 0.008), and Phi-4-mini over-refusal (−0.048, q = 0.012, a decrease). Not one HarmBench ASR contrast survives, including Llama’s individually significant decrease. The two capability survivors rest on deterministic exact-match scoring (MMLU and ARC parse an option letter; no refusal scorer is involved); the over-refusal survivor is regex-scored, and both an independent refusal judge (which does not reproduce it) and the completed human refusal audit (§7.2) mark it as most plausibly a measurement artifact of that regex. The multiplicity-robust signal of four-bit NF4 is therefore capability degradation, plus one benign-direction over-refusal change that does not survive an independent scorer, and never a safety regression. This is the thesis’s headline empirical claim.</w:t>
      </w:r>
    </w:p>
    <w:p>
      <w:pPr>
        <w:spacing w:after="160" w:line="360"/>
        <w:jc w:val="both"/>
      </w:pPr>
      <w:r>
        <w:rPr>
          <w:rFonts w:ascii="Times New Roman" w:cs="Times New Roman" w:eastAsia="Times New Roman" w:hAnsi="Times New Roman"/>
          <w:sz w:val="24"/>
          <w:szCs w:val="24"/>
        </w:rPr>
        <w:t xml:space="preserve">Because the over-refusal member of every contrast above is regex-scored, and the §7.2 human audit subsequently found that scorer poorly aligned with a blinded human annotator on this construct, a validation-informed parallel correction is also reported — clearly labelled post-hoc, added after both scorers’ results were known, with its composition fixed in a dated pre-analysis note before it was computed (docs/VALIDATION_INFORMED_FAMILY_NOTE.md). It recomputes the identical twenty-contrast family with a single change: the five over-refusal contrasts are scored by the independent three-class judge under the strict mapping, the replication definition pre-registered in the judge-validation protocol; the other fifteen p-values are reused verbatim, and the same Benjamini-Hochberg procedure is applied at the same threshold. Under the original registered analysis, exactly three contrasts survive BH-FDR (Qwen3-1.7B MMLU (−0.090, q = 0.008), Llama-3.2-3B ARC (−0.032, q = 0.008), Phi-4-mini over-refusal (−0.048, q = 0.012)); under the validation-informed parallel analysis — identical except that over-refusal is scored by the independent judge under the strict mapping — two survive: Qwen3-1.7B MMLU (q = 0.008), Llama-3.2-3B ARC (q = 0.008), both capability effects. The third registered survivor (Phi-4-mini over-refusal, regex-scored) is retained only as the original scorer-of-record finding and is most plausibly a measurement artifact of that scorer. The parallel family is purely deflationary — no contrast becomes significant that was not already — and the original regex-scored family above remains the pre-specified family of record for traceability. The substantive RQ2 conclusion is therefore carried in the scorer-invariant form: no scorer finds a statistically significant over-refusal increase in any pair (point estimates do move upward in places — the judge-strict Qwen3-1.7B +0.040 is the largest, McNemar p = 0.087 — but none reaches significance under either scorer). Per-contrast values are in results_512/analysis/multiple_comparisons_judge_strict.json.</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360"/>
        <w:jc w:val="both"/>
      </w:pPr>
      <w:r>
        <w:rPr>
          <w:rFonts w:ascii="Times New Roman" w:cs="Times New Roman" w:eastAsia="Times New Roman" w:hAnsi="Times New Roman"/>
          <w:sz w:val="24"/>
          <w:szCs w:val="24"/>
        </w:rPr>
        <w:t xml:space="preserve">The results answer the research questions with calibrated, not sweeping, claims. At the reference budget NF4 does not significantly increase harmful compliance under direct requests in any pair (RQ1); over-refusal does not rise — no scorer finds a statistically significant over-refusal increase in any pair, and the only exact-test-significant change is a regex-scored decrease that the human-grounded judge marks as most plausibly a measurement artifact (RQ2); capability loss is real, modest, partly benchmark-specific, and the only class of effect that robustly survives multiplicity correction under either scoring of the family, the one over-refusal survivor being most plausibly a regex measurement artifact (RQ3); the smallest model is the most capability-sensitive but shows no genuine safety shift once truncation is controlled (RQ4); and the cross-family, cross-precision picture is a consistent power-bounded null on safety with a capability cliff at four-bit (RQ5). This picture is consistent with the one prior study that likewise isolates four-bit quantization — Hong et al. [8], across a broader trust taxonomy and larger models — which reports that four-bit compression broadly preserves trustworthiness; the matched-pair capability anchor and classifier-validated scorer used here sharpen that observation into a per-pair separation of capability change from alignment change. For deployment the practical message is capability-shaped: eight-bit quantization is essentially free, four-bit costs capability (worst in the smallest model), and neither produced a robust safety cost under direct requests. Teams should evaluate the exact quantized artefact they will ship, at the deployment generation budget rather than a truncated one, and prefer the largest model that fits the memory budget over aggressively quantizing a smaller one. These recommendations are established for on-the-fly bitsandbytes quantization under direct harmful requests; other deployment formats (GGUF, GPTQ, AWQ) and attack-mediated threat models may behave differently and are future work.</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360"/>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 The generation budget, which the 128-token run showed can manufacture an effect, is controlled by adopting the benchmark’s own standardized budget and retaining the truncated run as an explicit comparison rather than discarding it.</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360"/>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(Cohen’s κ 0.68–0.95 across all ten models at the reference budget) shows the finding is not an artefact of one classifier. A stratified human-label audit (200 items, single annotator — the author — HarmBench rubric) now grounds this against truth: the classifier agrees with the human at Cohen’s κ 0.59 versus the regex’s 0.11, so the primary scorer is closer to human judgment than the demoted regex, not merely to another model. Two sampling caveats scope those figures symmetrically: the subset deliberately over-weights judge-vs-regex disagreement cases (roughly three times their population rate), so the κ values are a disagreement-enriched contrast rather than a population estimate; and the annotation view was capped at the first 2,000 characters of each response while the scorers saw the full text, which plausibly inflates measured disagreement, though the direction is not strictly identified, since a harmful-looking prefix followed by a benign completion cuts the other way. The residual is honestly bounded — κ 0.59 is moderate, not near-perfect, and rests on one annotator, so a second annotator with an inter-rater κ is the remaining strengthening. A third, open-weight judge — Llama-Guard-3-8B [22], revision-pinned — re-scored the 200 HarmBench generations of all fifteen aliases in the three-precision study (0 parse errors). Over the ten base/NF4 aliases of the primary study it agrees with the primary classifier at Cohen’s κ 0.36–0.92 per alias (highest for Llama, 0.89/0.92; lowest for Phi, 0.36/0.38); every per-pair Llama-Guard ΔASR is non-significant (the largest, Qwen3-1.7B’s −0.050 at McNemar p = 0.076, is a decrease); and the two scorers’ per-pair deltas agree in sign wherever the classifier delta is nonzero. This retires the reproducibility caveat that the cross-check rested solely on a versioned proprietary API snapshot. One construct boundary is stated plainly: Llama-Guard answers a looser question (“is this response unsafe?”) than the classifier (“is this generation an instance of the specific harmful behaviour?”), so where it disagrees — the low Phi κ — the divergence is expected and non-diagnostic; it is a reproducibility cross-check, not a second construct-validity oracle.</w:t>
      </w:r>
    </w:p>
    <w:p>
      <w:pPr>
        <w:spacing w:after="160" w:line="360"/>
        <w:jc w:val="both"/>
      </w:pPr>
      <w:r>
        <w:rPr>
          <w:rFonts w:ascii="Times New Roman" w:cs="Times New Roman" w:eastAsia="Times New Roman" w:hAnsi="Times New Roman"/>
          <w:sz w:val="24"/>
          <w:szCs w:val="24"/>
        </w:rPr>
        <w:t xml:space="preserve">Over-refusal remains regex-scored, a known weaker construct; the single over-refusal contrast that survives multiplicity correction (Phi-4-mini’s −0.048 decrease) therefore inherits that same weaker-construct status. To test that survivor for scorer-robustness — the same question the classifier settled for HarmBench — the 3,750 saved benign XSTest responses were re-scored by an independent three-class refusal judge (GPT-4o, pinned dated snapshot, temperature 0, zero parse failures) applying the XSTest paper’s own full-compliance / partial-refusal / full-refusal taxonomy [9], as a sensitivity layer that leaves the regex primary and the multiplicity family unchanged. The judge does not reproduce the −0.048 decrease: Phi’s judge ΔOR is +0.016 (strict, direction reversed; McNemar p = 0.597) or −0.004 (broad; p = 1.000), neither significant, and the two scorers agree only poorly-to-moderately on benign over-refusal (Cohen κ −0.01 to 0.50 across the ten base/NF4 aliases of the primary study, with the judge counting roughly four times as many refusals). The one multiplicity-robust over-refusal contrast is therefore scorer-dependent, and a completed pre-registered human audit resolves which scorer to weight. All 200 items of a gold set drawn from the same saved responses — deliberately over-sampling the regex-versus-judge disagreements (120 of 200), presentation-shuffled and label-blind — were labelled by a single human annotator (the author) under the same three-class XSTest taxonomy the judge applies. The read-off, locked in a pre-registered outcome matrix before any label existed, gives a mechanical Outcome J: the judge aligns substantially better with the annotator than the regex — strict-mapping Cohen’s κ 0.485 versus −0.006, broad-mapping 0.662 versus 0.054. One protocol deviation is disclosed rather than glossed (pre-registration §8): the blindness exclusion was applied prompt-wide — the five quoted prompts removed from all ten aliases — instead of to the ≤10 pre-specified (alias, prompt) items, which under the pre-registration’s strict letter voids the clean confirmatory badge, so this is reported as an Outcome-J–consistent validation carrying one disclosed deviation rather than a clean pre-registered confirmation. The deviation was fixed in code before the draw and before any label existed, is blindness-conservative (it removes more potential priming, never less), and its footprint is bounded: a no-exclusion counterfactual draw overlaps the labelled set on 186 of 200 items (so at most 14 were displaced), and on those shared items the strict κ gap is +0.51, as large as the full-sample +0.49, so the judge-grounded reading does not depend on the deviation-specific items. The two failure modes are asymmetric in kind: the regex detected 2 of the annotator’s 63 full refusals (the missed refusals are typically long, polite, lecture-style declinations carrying none of the template phrases), whereas the judge caught 61 of 63 and errs by over-flagging, with its over-flags concentrated on the genuinely subjective partial-versus-full boundary (three-class exact agreement 0.695). Three bounds are disclosed plainly: these labels are a blinded single-annotator reference set, not ground truth; the draw is disagreement-enriched, so the κ values are a contested-slice contrast and no population over-refusal rate or ΔOR is estimated from them; and the shared benchmark taxonomy structurally favours a semantic judge over a phrase-matcher, while the pre-registered no-swap rule was locked before the judge results existed but after the regex results were known — a timing disclosed rather than argued from. The regex accordingly remains the original pre-specified scorer-of-record and the registered multiplicity family is unchanged, but the Phi-4-mini −0.048 contrast is carried as most plausibly a measurement artifact of the regex scorer, with the §6.7 validation-informed parallel family giving that reading a multiplicity-controlled footing (two survivors, both capability effects). The committed aggregate is results_512/analysis/xstest_human_validation.json (counts and rates only), with a redacted per-item audit trail in results_512/analysis/xstest_human_validation_items.jsonl (IDs and labels only); the annotation sheet holds raw text and stays local; a second annotator with an inter-rater κ is the residual strengthening, exactly as for the harmful-compliance audit. This extends the thesis’s central scorer-sensitivity message from the harmful-compliance axis to the over-refusal axis. A second construct boundary is the threat model: the safety axis measures harmful compliance under direct requests only, with no attack augmentation, so the null does not speak to adversarial settings, whether optimised jailbreak attacks [5] or quantization-targeted poisoning that surfaces only after quantization [7], which is precisely where prior quantization-safety work reports effects.</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360"/>
        <w:jc w:val="both"/>
      </w:pPr>
      <w:r>
        <w:rPr>
          <w:rFonts w:ascii="Times New Roman" w:cs="Times New Roman" w:eastAsia="Times New Roman" w:hAnsi="Times New Roman"/>
          <w:sz w:val="24"/>
          <w:szCs w:val="24"/>
        </w:rPr>
        <w:t xml:space="preserve">External validity is bounded by five pairs, one decoding regime (greedy primary, with a five-pair multi-seed arm; the two Qwen3 pairs run in non-default non-thinking mode, with the quantization × thinking-mode interaction untested), two bitsandbytes methods, direct requests only, and English-only text; the cross-family, cross-precision, and cross-budget sweeps widen it but do not make it general. Statistical-conclusion validity is bounded by sample size and is addressed head-on: paired-bootstrap intervals, exact McNemar tests, an explicit BH-FDR correction over the primary family, a minimum-detectable-effect analysis (about 0.06 at the representative pair; 0.044–0.086 across the five), and a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360"/>
      </w:pPr>
      <w:r>
        <w:rPr>
          <w:rFonts w:ascii="Times New Roman" w:cs="Times New Roman" w:eastAsia="Times New Roman" w:hAnsi="Times New Roman"/>
          <w:sz w:val="24"/>
          <w:szCs w:val="24"/>
        </w:rPr>
        <w:t xml:space="preserve">Threat model: HarmBench was evaluated in its standard direct-request configuration only; no attack or jailbreak augmentation was applied. All safety findings, including the headline null, are scoped to direct requests and do not establish robustness under optimised adversarial attack.</w:t>
      </w:r>
    </w:p>
    <w:p>
      <w:pPr>
        <w:pStyle w:val="ListParagraph"/>
        <w:numPr>
          <w:ilvl w:val="0"/>
          <w:numId w:val="3"/>
        </w:numPr>
        <w:spacing w:after="80" w:line="360"/>
      </w:pPr>
      <w:r>
        <w:rPr>
          <w:rFonts w:ascii="Times New Roman" w:cs="Times New Roman" w:eastAsia="Times New Roman" w:hAnsi="Times New Roman"/>
          <w:sz w:val="24"/>
          <w:szCs w:val="24"/>
        </w:rPr>
        <w:t xml:space="preserve">Sample size and power: 200 HarmBench prompts give wide (about ±0.05) confidence intervals; the minimum detectable ΔASR at 80% power is about 0.06 at the representative pair (0.044–0.086 across the five), so effects below that floor cannot be ruled out (the smallest pair’s multi-seed sign-consistency is compatible with one).</w:t>
      </w:r>
    </w:p>
    <w:p>
      <w:pPr>
        <w:pStyle w:val="ListParagraph"/>
        <w:numPr>
          <w:ilvl w:val="0"/>
          <w:numId w:val="3"/>
        </w:numPr>
        <w:spacing w:after="80" w:line="360"/>
      </w:pPr>
      <w:r>
        <w:rPr>
          <w:rFonts w:ascii="Times New Roman" w:cs="Times New Roman" w:eastAsia="Times New Roman" w:hAnsi="Times New Roman"/>
          <w:sz w:val="24"/>
          <w:szCs w:val="24"/>
        </w:rPr>
        <w:t xml:space="preserve">Decoding: the primary results condition on a single greedy decode; the multi-seed sensitivity arm now covers all five pairs (five seeds each at temperature 0.7) and corroborates the null, with one disclosed wrinkle: for Mistral and Phi the greedy estimate falls marginally outside the seed range with a sign flip (small noise around zero), so the greedy point is not everywhere inside the stochastic range.</w:t>
      </w:r>
    </w:p>
    <w:p>
      <w:pPr>
        <w:pStyle w:val="ListParagraph"/>
        <w:numPr>
          <w:ilvl w:val="0"/>
          <w:numId w:val="3"/>
        </w:numPr>
        <w:spacing w:after="80" w:line="360"/>
      </w:pPr>
      <w:r>
        <w:rPr>
          <w:rFonts w:ascii="Times New Roman" w:cs="Times New Roman" w:eastAsia="Times New Roman" w:hAnsi="Times New Roman"/>
          <w:sz w:val="24"/>
          <w:szCs w:val="24"/>
        </w:rPr>
        <w:t xml:space="preserve">Judge grounding: the HarmBench classifier is now grounded against human labels on a stratified 200-item subset (classifier κ 0.59 vs regex 0.11, single annotator), alongside the second-judge cross-check, and the XSTest refusal judge is likewise grounded by a completed 200-item blinded audit (judge strict κ 0.485 vs regex −0.006, a mechanical Outcome J carried with one disclosed protocol deviation, prereg §8); both groundings rest on a single annotator, so a second annotator for an inter-rater κ remains the strengthening on both axes; an open-weight third judge (Llama-Guard-3-8B) additionally makes the HarmBench cross-check revision-pinned and locally rerunnable, though it scores a looser construct (§7.2).</w:t>
      </w:r>
    </w:p>
    <w:p>
      <w:pPr>
        <w:pStyle w:val="ListParagraph"/>
        <w:numPr>
          <w:ilvl w:val="0"/>
          <w:numId w:val="3"/>
        </w:numPr>
        <w:spacing w:after="80" w:line="360"/>
      </w:pPr>
      <w:r>
        <w:rPr>
          <w:rFonts w:ascii="Times New Roman" w:cs="Times New Roman" w:eastAsia="Times New Roman" w:hAnsi="Times New Roman"/>
          <w:sz w:val="24"/>
          <w:szCs w:val="24"/>
        </w:rPr>
        <w:t xml:space="preserve">Quantization coverage: two bitsandbytes methods (NF4, INT8); GPTQ, AWQ, and GGUF (the dominant on-device deployment format) are out of scope, so the null may be method-specific.</w:t>
      </w:r>
    </w:p>
    <w:p>
      <w:pPr>
        <w:pStyle w:val="ListParagraph"/>
        <w:numPr>
          <w:ilvl w:val="0"/>
          <w:numId w:val="3"/>
        </w:numPr>
        <w:spacing w:after="80" w:line="360"/>
      </w:pPr>
      <w:r>
        <w:rPr>
          <w:rFonts w:ascii="Times New Roman" w:cs="Times New Roman" w:eastAsia="Times New Roman" w:hAnsi="Times New Roman"/>
          <w:sz w:val="24"/>
          <w:szCs w:val="24"/>
        </w:rPr>
        <w:t xml:space="preserve">Generation budget: absolute ASR is budget-dependent by construction (complete generations give more room for harmful content to appear), which is controlled here by adopting HarmBench’s standardized 512-token budget; the 128-era signals are budget artefacts retained only as the generation-length comparison (Qwen3-1.7B NF4 +0.055 via truncation; Llama-3B INT8 +0.040 via cross-run greedy divergence, since Llama truncates at only 3–4 percent).</w:t>
      </w:r>
    </w:p>
    <w:p>
      <w:pPr>
        <w:pStyle w:val="ListParagraph"/>
        <w:numPr>
          <w:ilvl w:val="0"/>
          <w:numId w:val="3"/>
        </w:numPr>
        <w:spacing w:after="80" w:line="360"/>
      </w:pPr>
      <w:r>
        <w:rPr>
          <w:rFonts w:ascii="Times New Roman" w:cs="Times New Roman" w:eastAsia="Times New Roman" w:hAnsi="Times New Roman"/>
          <w:sz w:val="24"/>
          <w:szCs w:val="24"/>
        </w:rPr>
        <w:t xml:space="preserve">Generation stopping: the generation loop halts only on the tokenizer’s default end-of-sequence token, so responses can run past the model’s completed answer into synthetic follow-up turns (the model role-playing both sides of a dialogue), which skip_special_tokens decoding saves as a run-on. This is a decoding-configuration artefact: it inflates response length but is produced identically by both pair members, so its effect is matched across the pair by construction, and the full-response classifier still scores any harmful content a continuation might contain. Stopping at the chat turn-end token is a straightforward fix for future runs.</w:t>
      </w:r>
    </w:p>
    <w:p>
      <w:pPr>
        <w:pStyle w:val="ListParagraph"/>
        <w:numPr>
          <w:ilvl w:val="0"/>
          <w:numId w:val="3"/>
        </w:numPr>
        <w:spacing w:after="80" w:line="360"/>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360"/>
      </w:pPr>
      <w:r>
        <w:rPr>
          <w:rFonts w:ascii="Times New Roman" w:cs="Times New Roman" w:eastAsia="Times New Roman" w:hAnsi="Times New Roman"/>
          <w:sz w:val="24"/>
          <w:szCs w:val="24"/>
        </w:rPr>
        <w:t xml:space="preserve">An adversarial-attack arm: re-run the HarmBench axis under at least one optimisation-based or LLM-mediated attack (for example GCG or PAIR) on a subset of pairs, upgrading the direct-request compliance result to a quantization-versus-safety-under-attack result. This is the highest-leverage extension of the safety axis.</w:t>
      </w:r>
    </w:p>
    <w:p>
      <w:pPr>
        <w:pStyle w:val="ListParagraph"/>
        <w:numPr>
          <w:ilvl w:val="0"/>
          <w:numId w:val="4"/>
        </w:numPr>
        <w:spacing w:after="80" w:line="360"/>
      </w:pPr>
      <w:r>
        <w:rPr>
          <w:rFonts w:ascii="Times New Roman" w:cs="Times New Roman" w:eastAsia="Times New Roman" w:hAnsi="Times New Roman"/>
          <w:sz w:val="24"/>
          <w:szCs w:val="24"/>
        </w:rPr>
        <w:t xml:space="preserve">A second human annotator (inter-rater κ and adjudication of disagreements) extending the completed single-annotator human validations on both axes — HarmBench harmful compliance (classifier κ 0.59 vs regex 0.11 against human labels) and the XSTest refusal gold set, now completed as well (200 items, blinded, a mechanical Outcome J carried with one disclosed protocol deviation, prereg §8: the judge aligns substantially better with the annotator than the regex). The open-weight guard-model cross-check (Llama Guard [22]) has since been run as a third judge (§7.2), so the residual on that axis is the annotator, not the instrument.</w:t>
      </w:r>
    </w:p>
    <w:p>
      <w:pPr>
        <w:pStyle w:val="ListParagraph"/>
        <w:numPr>
          <w:ilvl w:val="0"/>
          <w:numId w:val="4"/>
        </w:numPr>
        <w:spacing w:after="80" w:line="360"/>
      </w:pPr>
      <w:r>
        <w:rPr>
          <w:rFonts w:ascii="Times New Roman" w:cs="Times New Roman" w:eastAsia="Times New Roman" w:hAnsi="Times New Roman"/>
          <w:sz w:val="24"/>
          <w:szCs w:val="24"/>
        </w:rPr>
        <w:t xml:space="preserve">Adding genuinely different quantization families (GPTQ, AWQ, and especially GGUF, the deployment-dominant format) beyond the two bitsandbytes methods.</w:t>
      </w:r>
    </w:p>
    <w:p>
      <w:pPr>
        <w:pStyle w:val="ListParagraph"/>
        <w:numPr>
          <w:ilvl w:val="0"/>
          <w:numId w:val="4"/>
        </w:numPr>
        <w:spacing w:after="80" w:line="360"/>
      </w:pPr>
      <w:r>
        <w:rPr>
          <w:rFonts w:ascii="Times New Roman" w:cs="Times New Roman" w:eastAsia="Times New Roman" w:hAnsi="Times New Roman"/>
          <w:sz w:val="24"/>
          <w:szCs w:val="24"/>
        </w:rPr>
        <w:t xml:space="preserve">Extending the refusal-margin probe across all three precisions, and an independent activation-space refusal-direction probe with a paired neutral-margin control and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360"/>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invalid scoring, or truncated generation. By combining a matched-pair design, a judge-validated primary scorer with an independent cross-check, a capability anchor, a multi-precision sweep, and the benchmark’s own standardized generation budget, it reaches a calibrated answer. At the 512-token reference budget, none of the five pairs across four families shows a significant increase in harmful compliance under direct requests at four-bit NF4; not one ASR contrast survives multiplicity correction; the only individually significant safety move is a decrease; and the effects that do survive correction are capability losses and one benign-direction over-refusal change that is most plausibly a measurement artifact of the regex scorer — not reproduced by an independent refusal judge that a blinded human audit finds substantially better aligned with the annotator, and absent from the validation-informed parallel correction, under which only the two capability losses survive. Capability degradation is a clean cliff at four-bit, is budget-invariant, and is the robust cost of NF4 in this regime.</w:t>
      </w:r>
    </w:p>
    <w:p>
      <w:pPr>
        <w:spacing w:after="160" w:line="360"/>
        <w:jc w:val="both"/>
      </w:pPr>
      <w:r>
        <w:rPr>
          <w:rFonts w:ascii="Times New Roman" w:cs="Times New Roman" w:eastAsia="Times New Roman" w:hAnsi="Times New Roman"/>
          <w:sz w:val="24"/>
          <w:szCs w:val="24"/>
        </w:rPr>
        <w:t xml:space="preserve">Its most transferable lessons are methodological, and there are two. A refusal-counting scorer over-states harmful compliance and, uncorrected, can change a study’s conclusion; safety evaluation should validate its scorer against the benchmark’s own classifier and a second judge, and report chance-corrected agreement. And the generation budget is a first-class experimental parameter: a truncated budget manufactured this study’s original headline result, and only re-running at the benchmark’s standardized 512-token budget revealed it as an artefact. Both lessons argue for the same discipline: measure the instrument before trusting the measurement, and resist over-claiming on small, borderline effects. The open, reproducible framework that produced these results, together with the machine claim lock that ties every reported number to the committed artefacts,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[4] A. Kharinaev et al., “Investigating the impact of quantization methods on the safety and reliability of large language models,” IEEE Access, vol. 14, pp. 96771–96793, 2026, doi: 10.1109/ACCESS.2026.3703899. arXiv:2502.15799.</w:t>
      </w:r>
    </w:p>
    <w:p>
      <w:pPr>
        <w:spacing w:after="90" w:line="264"/>
        <w:ind w:left="400" w:hanging="400"/>
      </w:pPr>
      <w:r>
        <w:rPr>
          <w:rFonts w:ascii="Times New Roman" w:cs="Times New Roman" w:eastAsia="Times New Roman" w:hAnsi="Times New Roman"/>
          <w:sz w:val="22"/>
          <w:szCs w:val="22"/>
        </w:rPr>
        <w:t xml:space="preserve">[5]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[6]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[7] K. Egashira, M. Vero, R. Staab, J. He, and M. Vechev, “Exploiting LLM quantization,” in Proc. Advances in Neural Information Processing Systems (NeurIPS), 2024. arXiv:2405.18137.</w:t>
      </w:r>
    </w:p>
    <w:p>
      <w:pPr>
        <w:spacing w:after="90" w:line="264"/>
        <w:ind w:left="400" w:hanging="400"/>
      </w:pPr>
      <w:r>
        <w:rPr>
          <w:rFonts w:ascii="Times New Roman" w:cs="Times New Roman" w:eastAsia="Times New Roman" w:hAnsi="Times New Roman"/>
          <w:sz w:val="22"/>
          <w:szCs w:val="22"/>
        </w:rPr>
        <w:t xml:space="preserve">[8]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spacing w:after="90" w:line="264"/>
        <w:ind w:left="400" w:hanging="400"/>
      </w:pPr>
      <w:r>
        <w:rPr>
          <w:rFonts w:ascii="Times New Roman" w:cs="Times New Roman" w:eastAsia="Times New Roman" w:hAnsi="Times New Roman"/>
          <w:sz w:val="22"/>
          <w:szCs w:val="22"/>
        </w:rPr>
        <w:t xml:space="preserve">[9]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[10]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[11]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[12]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[13]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[14]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[15]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[16] Q. McNemar, “Note on the sampling error of the difference between correlated proportions or percentages,” Psychometrika, vol. 12, no. 2, pp. 153–157, 1947.</w:t>
      </w:r>
    </w:p>
    <w:p>
      <w:pPr>
        <w:spacing w:after="90" w:line="264"/>
        <w:ind w:left="400" w:hanging="400"/>
      </w:pPr>
      <w:r>
        <w:rPr>
          <w:rFonts w:ascii="Times New Roman" w:cs="Times New Roman" w:eastAsia="Times New Roman" w:hAnsi="Times New Roman"/>
          <w:sz w:val="22"/>
          <w:szCs w:val="22"/>
        </w:rPr>
        <w:t xml:space="preserve">[17] Y. Benjamini and Y. Hochberg, “Controlling the false discovery rate: A practical and powerful approach to multiple testing,” Journal of the Royal Statistical Society: Series B (Methodological), vol. 57, no. 1, pp. 289–300, 1995.</w:t>
      </w:r>
    </w:p>
    <w:p>
      <w:pPr>
        <w:spacing w:after="90" w:line="264"/>
        <w:ind w:left="400" w:hanging="400"/>
      </w:pPr>
      <w:r>
        <w:rPr>
          <w:rFonts w:ascii="Times New Roman" w:cs="Times New Roman" w:eastAsia="Times New Roman" w:hAnsi="Times New Roman"/>
          <w:sz w:val="22"/>
          <w:szCs w:val="22"/>
        </w:rPr>
        <w:t xml:space="preserve">[18] R. J. Connor, “Sample size for testing differences in proportions for the paired-sample design,” Biometrics, vol. 43, no. 1, pp. 207–211, 1987.</w:t>
      </w:r>
    </w:p>
    <w:p>
      <w:pPr>
        <w:spacing w:after="90" w:line="264"/>
        <w:ind w:left="400" w:hanging="400"/>
      </w:pPr>
      <w:r>
        <w:rPr>
          <w:rFonts w:ascii="Times New Roman" w:cs="Times New Roman" w:eastAsia="Times New Roman" w:hAnsi="Times New Roman"/>
          <w:sz w:val="22"/>
          <w:szCs w:val="22"/>
        </w:rPr>
        <w:t xml:space="preserve">[19] J. Cohen, “A coefficient of agreement for nominal scales,” Educational and Psychological Measurement, vol. 20, no. 1, pp. 37–46, 1960.</w:t>
      </w:r>
    </w:p>
    <w:p>
      <w:pPr>
        <w:spacing w:after="90" w:line="264"/>
        <w:ind w:left="400" w:hanging="400"/>
      </w:pPr>
      <w:r>
        <w:rPr>
          <w:rFonts w:ascii="Times New Roman" w:cs="Times New Roman" w:eastAsia="Times New Roman" w:hAnsi="Times New Roman"/>
          <w:sz w:val="22"/>
          <w:szCs w:val="22"/>
        </w:rPr>
        <w:t xml:space="preserve">[20] J. R. Landis and G. G. Koch, “The measurement of observer agreement for categorical data,” Biometrics, vol. 33, no. 1, pp. 159–174, 1977.</w:t>
      </w:r>
    </w:p>
    <w:p>
      <w:pPr>
        <w:spacing w:after="90" w:line="264"/>
        <w:ind w:left="400" w:hanging="400"/>
      </w:pPr>
      <w:r>
        <w:rPr>
          <w:rFonts w:ascii="Times New Roman" w:cs="Times New Roman" w:eastAsia="Times New Roman" w:hAnsi="Times New Roman"/>
          <w:sz w:val="22"/>
          <w:szCs w:val="22"/>
        </w:rPr>
        <w:t xml:space="preserve">[21] I. Proskurina, L. Brun, G. Metzler, and J. Velcin, “When quantization affects confidence of large language models?,” in Findings of NAACL, 2024. arXiv:2405.00632.</w:t>
      </w:r>
    </w:p>
    <w:p>
      <w:pPr>
        <w:spacing w:after="90" w:line="264"/>
        <w:ind w:left="400" w:hanging="400"/>
      </w:pPr>
      <w:r>
        <w:rPr>
          <w:rFonts w:ascii="Times New Roman" w:cs="Times New Roman" w:eastAsia="Times New Roman" w:hAnsi="Times New Roman"/>
          <w:sz w:val="22"/>
          <w:szCs w:val="22"/>
        </w:rPr>
        <w:t xml:space="preserve">[22] H. Inan et al., “Llama Guard: LLM-based input-output safeguard for human-AI conversations,” Meta AI, 2023. arXiv:2312.06674.</w:t>
      </w:r>
    </w:p>
    <w:p>
      <w:pPr>
        <w:spacing w:after="90" w:line="264"/>
        <w:ind w:left="400" w:hanging="400"/>
      </w:pPr>
      <w:r>
        <w:rPr>
          <w:rFonts w:ascii="Times New Roman" w:cs="Times New Roman" w:eastAsia="Times New Roman" w:hAnsi="Times New Roman"/>
          <w:sz w:val="22"/>
          <w:szCs w:val="22"/>
        </w:rPr>
        <w:t xml:space="preserve">[23]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[24]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[25]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[26] A. M. Smith et al., “Journal of Open Source Software (JOSS): Design and first-year review,” arXiv preprint arXiv:1707.02264, 2017.</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360"/>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[23]: models and algorithms are described (Chapters 3–4); datasets, splits, and sample counts are recorded in each run summary; code and declared dependencies are released; hyper-parameters and decoding controls are recorded in every summary; the compute infrastructure is recorded; and significance procedures are specified, with multiple comparisons disclosed. The dependency set is declared with minimum-version floors (a lockfile with exact pins is a future hardening step). The repository follows recognised research-software practice (scripts rather than manual steps, fixed seeds, explicit dependencies, and a documented project structure [24], [25]) and is packaged for reuse in line with open-source-software peer-review norms [26]. Raw generations are gitignored and hash-pinned; only redacted sidecars (identifiers, booleans, scalars) are released, so the study is reproducible without redistributing harmful text. The primary artefacts live under results_512/ (the 512-token study), with the 128-token run retained under results/ as the generation-length comparison; a checksum manifest pins 340 immutable raw files across both trees and the multi-seed arm.</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360"/>
        <w:jc w:val="both"/>
      </w:pPr>
      <w:r>
        <w:rPr>
          <w:rFonts w:ascii="Times New Roman" w:cs="Times New Roman" w:eastAsia="Times New Roman" w:hAnsi="Times New Roman"/>
          <w:sz w:val="24"/>
          <w:szCs w:val="24"/>
        </w:rPr>
        <w:t xml:space="preserve">The framework ships an automated verification suite across the schema, loaders (including the fail-loud quantization guard), scorers, analysis mathematics, the SLURM generator, and the registered document surfaces. The artifact-derived claim registry and claim checker bind load-bearing tables, captions, deck data, and recurring prose to results_512/analysis/, while a checksum manifest pins immutable raw artefacts. The live test inventory is obtained from pytest rather than copied into the thesis.</w:t>
      </w:r>
    </w:p>
    <w:sectPr>
      <w:headerReference w:type="default" r:id="rId7"/>
      <w:footerReference w:type="default" r:id="rId8"/>
      <w:pgSz w:w="11906" w:h="16838" w:orient="portrait"/>
      <w:pgMar w:top="1273" w:right="1273" w:bottom="1273"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861c1695507340d933a706937cdac3959c8977fa.png"/><Relationship Id="rId13" Type="http://schemas.openxmlformats.org/officeDocument/2006/relationships/image" Target="media/cd5dcc8827032c93c15d518c1fc15032529a03f9.png"/><Relationship Id="rId14" Type="http://schemas.openxmlformats.org/officeDocument/2006/relationships/image" Target="media/3d9c399833b6b55d7a6ad52d90c39978902107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2026-07-25T08:32:53.032Z</dcterms:created>
  <dcterms:modified xsi:type="dcterms:W3CDTF">2026-07-25T08:32:53.033Z</dcterms:modified>
</cp:coreProperties>
</file>

<file path=docProps/custom.xml><?xml version="1.0" encoding="utf-8"?>
<Properties xmlns="http://schemas.openxmlformats.org/officeDocument/2006/custom-properties" xmlns:vt="http://schemas.openxmlformats.org/officeDocument/2006/docPropsVTypes"/>
</file>