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Two pairs in this study carry a ΔASR whose magnitude sits exactly on the ±0.02 harm tolerance (Phi-4-mini +0.020 and Mistral-7B −0.020; both are k/200 proportion differences). Such on-threshold deltas are boundary cases, and both are statistically non-significant (95% CI includes zero; McNemar p = 0.424 and 0.627 respectively), so they are read on the null/robust side of the taxonomy together with their evidence status rather than as confirmed moves: Phi-4-mini is reported as robust_preservation and Mistral-7B as a non-significant, directional alignment_improvement. The label rule itself is applied to the exact proportion difference; because these two deltas are equal in magnitude and opposite in sign, a reader recomputing them should note that the classification of an exactly-on-tolerance delta is decided jointly with its (here non-significant) evidence status, not by the point estimate alone.</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null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[22], [23].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(§6.10)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Scorer Incident and Future-Session Handoff</w:t>
      </w:r>
    </w:p>
    <w:p>
      <w:pPr>
        <w:spacing w:after="160" w:line="360"/>
        <w:jc w:val="both"/>
      </w:pPr>
      <w:r>
        <w:rPr>
          <w:rFonts w:ascii="Times New Roman" w:cs="Times New Roman" w:eastAsia="Times New Roman" w:hAnsi="Times New Roman"/>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Where the next session should continue</w:t>
      </w:r>
    </w:p>
    <w:p>
      <w:pPr>
        <w:spacing w:after="160" w:line="360"/>
        <w:jc w:val="both"/>
      </w:pPr>
      <w:r>
        <w:rPr>
          <w:rFonts w:ascii="Times New Roman" w:cs="Times New Roman" w:eastAsia="Times New Roman" w:hAnsi="Times New Roman"/>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60"/>
        <w:jc w:val="both"/>
      </w:pPr>
      <w:r>
        <w:rPr>
          <w:rFonts w:ascii="Times New Roman" w:cs="Times New Roman" w:eastAsia="Times New Roman" w:hAnsi="Times New Roman"/>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2026-07-10T20:38:29.064Z</dcterms:created>
  <dcterms:modified xsi:type="dcterms:W3CDTF">2026-07-10T20:38:29.065Z</dcterms:modified>
</cp:coreProperties>
</file>

<file path=docProps/custom.xml><?xml version="1.0" encoding="utf-8"?>
<Properties xmlns="http://schemas.openxmlformats.org/officeDocument/2006/custom-properties" xmlns:vt="http://schemas.openxmlformats.org/officeDocument/2006/docPropsVTypes"/>
</file>