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[10], and critical studies show that judge scores can diverge systematically from human judgment, so judge-based results need validation and, ideally, human grounding [11].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[14] (2,000 resamples, seed 42), resampled by prompt identity so that both members of a pair see the same prompts in the same order. Every HarmBench contrast is tested with McNemar’s exact paired test [15];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[16].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[17])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[15]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[16]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[17]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[18]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[19]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[20]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[21]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[18]: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[19], [20]) and is packaged for reuse in line with open-source-software peer-review norms [21].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2026-07-10T20:41:22.193Z</dcterms:created>
  <dcterms:modified xsi:type="dcterms:W3CDTF">2026-07-10T20:41:22.194Z</dcterms:modified>
</cp:coreProperties>
</file>

<file path=docProps/custom.xml><?xml version="1.0" encoding="utf-8"?>
<Properties xmlns="http://schemas.openxmlformats.org/officeDocument/2006/custom-properties" xmlns:vt="http://schemas.openxmlformats.org/officeDocument/2006/docPropsVTypes"/>
</file>