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in progress. The Qwen 2B pair (Qwen3-1.7B baseline versus NF4 4-bit) completed on 2026-05-27, with preliminary results showing decreased harmful compliance (HarmBench ASR: 0.775 → 0.655), decreased over-refusal (XSTest: 0.032 → 0.016), and decreased capability (MMLU accuracy: 0.620 → 0.533) under quantization — a pattern suggestive of capability collapse rather than genuine alignment improvement. This document records the full design, implementation, preliminary results,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results (Qwen 2B populated; Qwen 4B and Llama pending).</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Experimental runs are in progress on the NTU TC1 GPU cluster. The Qwen 2B-class pair (Qwen3-1.7B baseline versus NF4 4-bit) completed successfully on 2026-05-27 (SLURM jobs 60976 and 60977). The Qwen 4B and Llama 3.2 3B pairs are pending submission and will populate the remaining rows in Table 6.1 upon completion. Bootstrap 95% confidence intervals and formal interpretation labels will be computed by the analysis pipeline (compare_quant_pairs.py) after all six model jobs finish. Preliminary observations for the completed Qwen 2B pair are recorded in §6.6.</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Qwen 2B values are the actual outputs from TC1. Remaining rows will be filled in once the corresponding jobs complete.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0.655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0.860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results. Qwen 2B complete (jobs 60976+60977). Qwen 4B baseline complete (job 60978); 4-bit pending (job 60979 running at time of writing). Llama pair pending. Deltas and bootstrap 95% CIs will be added once each pair is complete.</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w:t>
      </w:r>
    </w:p>
    <w:p>
      <w:pPr>
        <w:spacing w:after="160" w:line="300"/>
        <w:jc w:val="both"/>
      </w:pPr>
      <w:r>
        <w:rPr>
          <w:rFonts w:ascii="Calibri" w:cs="Calibri" w:eastAsia="Calibri" w:hAnsi="Calibri"/>
          <w:sz w:val="22"/>
          <w:szCs w:val="22"/>
        </w:rPr>
        <w:t xml:space="preserve">The full-precision baseline comparison already reveals a capability-harmfulness coupling at scale. The Qwen3-4B baseline scores 0.860 on HarmBench ASR versus 0.775 for Qwen3-1.7B (+8.5 pp), confirming that the larger model is more instruction-following and thus more harmful-compliant. MMLU accuracy rises from 0.620 to 0.747 (+12.7 pp), confirming that the capability gain is genuine. XSTest over-refusal halves (0.032 → 0.016), indicating the 4B model is better calibrated on benign prompts. This larger-model-is-more-capable-and-more-dangerous pattern is consistent with the broader literature and motivates the matched-pair design: quantization effects need to be interpreted against a baseline that already varies significantly by scale. The Qwen 4B 4-bit results (pending) will determine whether quantization degrades the larger model by a similar or smaller absolute margin, informing whether compact-model scale provides resilience against compression.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w:t>
      </w:r>
    </w:p>
    <w:p>
      <w:pPr>
        <w:pStyle w:val="Heading2"/>
        <w:spacing w:after="140" w:before="280"/>
      </w:pPr>
      <w:r>
        <w:rPr>
          <w:rFonts w:ascii="Calibri" w:cs="Calibri" w:eastAsia="Calibri" w:hAnsi="Calibri"/>
          <w:b/>
          <w:bCs/>
          <w:sz w:val="26"/>
          <w:szCs w:val="26"/>
        </w:rPr>
        <w:t xml:space="preserve">6.6 Preliminary Observations: Qwen 2B Pair</w:t>
      </w:r>
    </w:p>
    <w:p>
      <w:pPr>
        <w:spacing w:after="160" w:line="300"/>
        <w:jc w:val="both"/>
      </w:pPr>
      <w:r>
        <w:rPr>
          <w:rFonts w:ascii="Calibri" w:cs="Calibri" w:eastAsia="Calibri" w:hAnsi="Calibri"/>
          <w:sz w:val="22"/>
          <w:szCs w:val="22"/>
        </w:rPr>
        <w:t xml:space="preserve">The Qwen 2B pair produced the following first-pass observations. Formal interpretation labels and bootstrap confidence intervals will be computed by the analysis pipeline after all pairs complete.</w:t>
      </w:r>
    </w:p>
    <w:p>
      <w:pPr>
        <w:spacing w:after="160" w:line="300"/>
        <w:jc w:val="both"/>
      </w:pPr>
      <w:r>
        <w:rPr>
          <w:rFonts w:ascii="Calibri" w:cs="Calibri" w:eastAsia="Calibri" w:hAnsi="Calibri"/>
          <w:sz w:val="22"/>
          <w:szCs w:val="22"/>
        </w:rPr>
        <w:t xml:space="preserve">HarmBench ASR dropped by 12.0 percentage points under quantization (0.775 → 0.655, −15.5% relative). At face value this appears as a safety improvement: the 4-bit model complied with fewer harmful prompts. However, MMLU accuracy also fell by 8.7 percentage points (0.620 → 0.533, −14.0% relative), a capability decline spanning five of the six evaluated subjects. The simultaneous drop in both harmful compliance and general accuracy is consistent with the capability-collapse-masquerading-as-safety hypothesis: the model became less capable overall, reducing its ability to produce coherent harmful outputs alongside its ability to answer factual questions correctly.</w:t>
      </w:r>
    </w:p>
    <w:p>
      <w:pPr>
        <w:spacing w:after="160" w:line="300"/>
        <w:jc w:val="both"/>
      </w:pPr>
      <w:r>
        <w:rPr>
          <w:rFonts w:ascii="Calibri" w:cs="Calibri" w:eastAsia="Calibri" w:hAnsi="Calibri"/>
          <w:sz w:val="22"/>
          <w:szCs w:val="22"/>
        </w:rPr>
        <w:t xml:space="preserve">The XSTest over-refusal rate declined by 1.6 percentage points (0.032 → 0.016, −50.0% relative). This is an unusual accompaniment to a capability-collapse pattern. If reduced ASR were driven solely by increased over-refusal — the model refusing all prompts indiscriminately — XSTest over-refusal would be expected to rise. Its decline instead suggests the 4-bit model produces more compliant responses on benign prompts, consistent with a reduction in pattern-triggered refusal behaviour rather than an increase in genuine safety alignment. Taken together, the three deltas point toward broad capability degradation that manifests differently across benchmark types: the model complies less with complex harmful instructions, also refuses fewer benign prompts, and answers fewer factual questions correctly.</w:t>
      </w:r>
    </w:p>
    <w:p>
      <w:pPr>
        <w:spacing w:after="160" w:line="300"/>
        <w:jc w:val="both"/>
      </w:pPr>
      <w:r>
        <w:rPr>
          <w:rFonts w:ascii="Calibri" w:cs="Calibri" w:eastAsia="Calibri" w:hAnsi="Calibri"/>
          <w:sz w:val="22"/>
          <w:szCs w:val="22"/>
        </w:rPr>
        <w:t xml:space="preserve">Subject-level MMLU breakdown supports this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substantially exceeds the estimated ±5 pp confidence interval width and is unlikely to be attributable to sampling noise alone.</w:t>
      </w:r>
    </w:p>
    <w:p>
      <w:pPr>
        <w:spacing w:after="160" w:line="300"/>
        <w:jc w:val="both"/>
      </w:pPr>
      <w:r>
        <w:rPr>
          <w:rFonts w:ascii="Calibri" w:cs="Calibri" w:eastAsia="Calibri" w:hAnsi="Calibri"/>
          <w:sz w:val="22"/>
          <w:szCs w:val="22"/>
        </w:rPr>
        <w:t xml:space="preserve">Formal interpretation labels and confidence intervals across all three pairs will be reported upon completion of the full matrix and execution of the analysis pipeline.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capability-harmfulness coupling that is itself an empirical finding independent of quantization. At full precision, scaling from 1.7B to 4B parameters produces: HarmBench ASR 0.775 → 0.860 (+8.5 pp), MMLU accuracy 0.620 → 0.747 (+12.7 pp), and XSTest over-refusal 0.032 → 0.016 (−1.6 pp). The larger model is more capable, more compliant on harmful prompts, and less prone to over-refusing benign prompts simultaneously. This pattern is consistent with the view that instruction-following capability and harmful compliance are coupled: a model that is better at following instructions in general is also better at following harmful ones.</w:t>
      </w:r>
    </w:p>
    <w:p>
      <w:pPr>
        <w:spacing w:after="160" w:line="300"/>
        <w:jc w:val="both"/>
      </w:pPr>
      <w:r>
        <w:rPr>
          <w:rFonts w:ascii="Calibri" w:cs="Calibri" w:eastAsia="Calibri" w:hAnsi="Calibri"/>
          <w:sz w:val="22"/>
          <w:szCs w:val="22"/>
        </w:rPr>
        <w:t xml:space="preserve">Notably, the 4B baseline's XSTest over-refusal rate (0.016) equals the 2B 4-bit model's over-refusal rate exactly. This illustrates how capability and quantization can interact in non-obvious ways: quantizing the smaller model produces refusal calibration that superficially resembles the full-precision larger model, even though the underlying mechanisms differ. Whether the 4B 4-bit model departs from this pattern — and whether it preserves the 4B baseline's higher ASR or regresses toward the 2B pair's range — is the key empirical question for the RQ4 analysis.</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and cluster execution is in progress. Six sbatch files have been generated, Hugging Face gated access has been verified, all required datasets and model weights have been pre-cached on TC1, and the full matrix submission has begun. The Qwen 2B pair (Qwen3-1.7B baseline versus NF4 4-bit) has completed, providing the first empirical data point: MMLU accuracy declined by 8.7 percentage points under quantization, while HarmBench ASR fell by 12.0 points and XSTest over-refusal halved. This preliminary pattern is consistent with capability collapse rather than a genuine alignment shift, and directly illustrates the disambiguation challenge that motivates the study. The Qwen 4B and Llama 3.2 3B pairs are pending; once all six jobs complete, the analysis pipeline will assign formal interpretation labels and compute bootstrap confidence intervals, producing a complete set of pairwise deltas that directly answer the five research questions and establish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2026-05-27T09:38:36.984Z</dcterms:created>
  <dcterms:modified xsi:type="dcterms:W3CDTF">2026-05-27T09:38:36.984Z</dcterms:modified>
</cp:coreProperties>
</file>

<file path=docProps/custom.xml><?xml version="1.0" encoding="utf-8"?>
<Properties xmlns="http://schemas.openxmlformats.org/officeDocument/2006/custom-properties" xmlns:vt="http://schemas.openxmlformats.org/officeDocument/2006/docPropsVTypes"/>
</file>