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four-bit NF4 never significantly increases harmful compliance in any pair: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headline, Hong et al. [8] scrutinise trustworthiness across five compression methods and eight trust dimensions and report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applying a condensed one-sentence yes/no rubric that encodes the same harmful-behaviour criterion as the HarmBench classifier rather than the classifier’s full enumerated template [11], [12].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deterministic regex. XSTest’s own evaluation relies on LLM-based three-way labelling (full compliance / partial refusal / full refusal) rather than a released fine-tuned classifier; this study retains regex parsing as a deliberate, reproducibility-motivated deviation that yields a coarser binary refusal / non-refusal construct (the HarmBench classifier itself judges harmful compliance only, so it does not cover over-refusal).</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0.28</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NF4 quantization never significantly increases harmful compliance in any pair.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−0.044, CI [−0.072, −0.016]), and Qwen3-1.7B shows a borderline decrease (−0.028, McNemar p = 0.065).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A construct caveat reinforces that MMLU-specificity: the option-letter parser falls back to a lenient “first in-range capital letter anywhere” scan when a response neither leads with the option letter nor states an explicit “answer is X”, and this fallback fires on 48.7 percent of qwen_2b_4bit MMLU items versus 3.3 percent for its fp16 twin, at far lower accuracy (46 percent against the leading-letter rule’s 75 percent). Part of the −0.090 gap therefore reflects a shift in answer format that the lenient parser scores less reliably, not only lost knowledge — and the ARC drop above, scored by an identical protocol for both members and immune to this asymmetry, corroborates the direction of the loss while indicating that its MMLU magnitude is partly parser-inflated. The capability anchor is what allows the safety deltas to be read correctly: the smallest Qwen pair is a capability story with a flat harm axis, and Llama’s harm decrease arrives together with its capability loss, so its lower ASR is more consistent with a capability side-effect than with a genuine alignment improvement, which is why it carries the capability-collapse-masquerading-as-safety label (that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(−0.044, q = 0.049, a decrease). Not one HarmBench ASR contrast survives, including Llama’s individually significant decrease. The multiplicity-robust signal of four-bit NF4 is therefore capability degradation, plus one benign-direction over-refusal change,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This picture is consistent with the one prior study that likewise isolates four-bit quantization — Hong et al. [8], across a broader trust taxonomy and larger models — which reports that four-bit compression broadly preserves trustworthiness; the matched-pair capability anchor and classifier-validated scorer used here sharpen that observation into a per-pair separation of capability change from alignment change.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 κ 0.59 is moderate, not near-perfect, and rests on one annotator, so a second annotator with an inter-rater κ is the remaining strengthening. Over-refusal remains regex-scored, a known weaker construct; the single over-refusal contrast that survives multiplicity correction (Phi-4-mini’s −0.044 decrease) therefore inherits that same weaker-construct status and should be read as a reproducible non-refusal-rate change rather than a classifier-validated over-refusal shift.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four-bit NF4 never significantly increases harmful compliance under direct requests in any of five pairs across four families;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2026-07-11T06:21:59.121Z</dcterms:created>
  <dcterms:modified xsi:type="dcterms:W3CDTF">2026-07-11T06:21:59.122Z</dcterms:modified>
</cp:coreProperties>
</file>

<file path=docProps/custom.xml><?xml version="1.0" encoding="utf-8"?>
<Properties xmlns="http://schemas.openxmlformats.org/officeDocument/2006/custom-properties" xmlns:vt="http://schemas.openxmlformats.org/officeDocument/2006/docPropsVTypes"/>
</file>