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Study of Safety–Capability Trade-offs in 4-bit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27 May 2026</w:t>
      </w:r>
    </w:p>
    <w:p>
      <w:pPr>
        <w:jc w:val="center"/>
      </w:pPr>
      <w:r>
        <w:rPr>
          <w:rFonts w:ascii="Calibri" w:cs="Calibri" w:eastAsia="Calibri" w:hAnsi="Calibri"/>
          <w:i/>
          <w:iCs/>
          <w:color w:val="555555"/>
          <w:sz w:val="20"/>
          <w:szCs w:val="20"/>
        </w:rPr>
        <w:t xml:space="preserve">Revision: HarmBench ASR scored by the official HarmBench classifier (judge-primary, D16); v2 refusal regex retained as a secondary proxy</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in the one-to-four-billion-parameter range are increasingly deployed on edge devices and consumer hardware, where four-bit quantization has become the de facto compression method for fitting them into available memory. However, quantization is not behaviourally neutral: emerging evidence suggests it can alter safety alignment, refusal calibration, and general capability in non-trivial ways. Existing large-scale ethical benchmarking efforts, such as TrustLLM, DecodingTrust, and SafetyBench, primarily evaluate full-precision mid-to-large models and do not systematically address how compression interacts with safety in the compact-deployment regime.</w:t>
      </w:r>
    </w:p>
    <w:p>
      <w:pPr>
        <w:spacing w:after="160" w:line="300"/>
        <w:jc w:val="both"/>
      </w:pPr>
      <w:r>
        <w:rPr>
          <w:rFonts w:ascii="Calibri" w:cs="Calibri" w:eastAsia="Calibri" w:hAnsi="Calibri"/>
          <w:sz w:val="22"/>
          <w:szCs w:val="22"/>
        </w:rPr>
        <w:t xml:space="preserve">This work designs and implements a research-grade benchmarking framework to study safety–capability trade-offs in four-bit quantized compact language models. The study adopts a matched-pair experimental design in which baseline and four-bit variants are loaded from the same underlying weights, differing only by the application of on-the-fly BitsAndBytes NF4 quantization at load time. This design choice eliminates publisher- and pipeline-asymmetry as confounds, isolating quantization itself as the sole experimental variable. Three model pairs are evaluated: Qwen3-1.7B, Qwen3-4B, and Llama-3.2-3B-Instruct as a cross-family robustness check.</w:t>
      </w:r>
    </w:p>
    <w:p>
      <w:pPr>
        <w:spacing w:after="160" w:line="300"/>
        <w:jc w:val="both"/>
      </w:pPr>
      <w:r>
        <w:rPr>
          <w:rFonts w:ascii="Calibri" w:cs="Calibri" w:eastAsia="Calibri" w:hAnsi="Calibri"/>
          <w:sz w:val="22"/>
          <w:szCs w:val="22"/>
        </w:rPr>
        <w:t xml:space="preserve">Each pair is scored on three complementary benchmarks: HarmBench (harmful compliance, measured as Attack Success Rate), XSTest (over-refusal on benign prompts), and a curated MMLU subset (general capability). HarmBench Attack Success Rate is scored by the official HarmBench classifier (cais/HarmBench-Llama-2-13b-cls), run in full precision as a derived validation; a deterministic regex scorer is retained as a secondary, refusal-based upper-bound proxy. Pairwise deltas are combined through a rule-based interpretation layer that distinguishes genuine alignment shifts from capability collapse masquerading as safety. All six experimental runs completed on the NTU TC1 GPU cluster on 2026-05-27; judge validation completed on 2026-06-06. The primary methodological contribution is the capability-anchored interpretation framework itself: a deterministic, reproducible procedure for distinguishing alignment shifts from capability artefacts. A central finding is that the framework, validated against the benchmark's own classifier, overturned a scorer artefact: the regex over-counts harmful compliance (it equates non-refusal with success), most severely for the Qwen models, and under the official classifier the study's significant finding shifts from one pair to another. Under the HarmBench classifier the framework yields: the Qwen3-1.7B pair is classified as broad_degradation — harmful compliance rises significantly (ΔASR = +0.055, CI [+0.010, +0.100]) while capability also falls significantly (ΔMMLU = −0.087), the only statistically significant safety worsening in the study and a degradation on both axes; the Qwen3-4B pair is alignment_degradation but only directionally (ΔASR = +0.025, CI includes zero) at preserved capability; and the Llama 3.2 3B pair is broad_degradation (ΔASR ≈ 0; ΔMMLU = −0.043, significant). Under the official classifier, NF4 quantization does not reduce true harmful compliance in any pair. Over-refusal increases marginally for all pairs but no ΔOR is statistically significant. Headline conclusion: the framework reliably separates the failure modes, and the judge validation demonstrates its diagnostic value by correcting a refusal-counting artefact and relocating the one robust safety regression to the smallest model.</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three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 even one that preserves task accuracy on average —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 exhibiting over-refusal —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 2B and Qwen 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in a different model family, namely Llama 3.2 3B?</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study evaluates a single quantization path: BitsAndBytes NF4 four-bit loading applied on the fly via the Hugging Face transformers integration. Alternative methods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span experimental design, software engineering, and analytical methodology.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NF4 quantization is applied during the from_pretrained call. This eliminates publisher-asymmetry and conversion-pipeline asymmetry —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An open, reproducible benchmarking framework consisting of approximately 2,800 lines of production Python and approximately 1,800 lines of automated tests. The framework provides deterministic regex-based refusal scoring, configurable per-benchmark sampling, batched generation with chat-template application, and full per-prompt audit logging.</w:t>
      </w:r>
    </w:p>
    <w:p>
      <w:pPr>
        <w:pStyle w:val="ListParagraph"/>
        <w:numPr>
          <w:ilvl w:val="0"/>
          <w:numId w:val="3"/>
        </w:numPr>
        <w:spacing w:after="80" w:line="280"/>
      </w:pPr>
      <w:r>
        <w:rPr>
          <w:rFonts w:ascii="Calibri" w:cs="Calibri" w:eastAsia="Calibri" w:hAnsi="Calibri"/>
          <w:sz w:val="22"/>
          <w:szCs w:val="22"/>
        </w:rPr>
        <w:t xml:space="preserve">A rule-based interpretation layer that combines harmful-compliance, over-refusal, and capability deltas into one of six diagnostic labels: alignment degradation, alignment improvement, capability collapse masquerading as safety, over-refusal regression, robust preservation, or broad degradation. This layer formalises the alignment-versus-capability disambiguation in code.</w:t>
      </w:r>
    </w:p>
    <w:p>
      <w:pPr>
        <w:pStyle w:val="ListParagraph"/>
        <w:numPr>
          <w:ilvl w:val="0"/>
          <w:numId w:val="3"/>
        </w:numPr>
        <w:spacing w:after="80" w:line="280"/>
      </w:pPr>
      <w:r>
        <w:rPr>
          <w:rFonts w:ascii="Calibri" w:cs="Calibri" w:eastAsia="Calibri" w:hAnsi="Calibri"/>
          <w:sz w:val="22"/>
          <w:szCs w:val="22"/>
        </w:rPr>
        <w:t xml:space="preserve">SLURM cluster orchestration for the NTU TC1 GPU cluster, including resumable per-model matrix jobs that load each model only once and execute all three benchmarks sequentially. Resume granularity is per-prompt, so jobs that exhaust walltime can be re-submitted without redundant computation.</w:t>
      </w:r>
    </w:p>
    <w:p>
      <w:pPr>
        <w:pStyle w:val="ListParagraph"/>
        <w:numPr>
          <w:ilvl w:val="0"/>
          <w:numId w:val="3"/>
        </w:numPr>
        <w:spacing w:after="80" w:line="280"/>
      </w:pPr>
      <w:r>
        <w:rPr>
          <w:rFonts w:ascii="Calibri" w:cs="Calibri" w:eastAsia="Calibri" w:hAnsi="Calibri"/>
          <w:sz w:val="22"/>
          <w:szCs w:val="22"/>
        </w:rPr>
        <w:t xml:space="preserve">A verification suite of 178 automated tests across twelve test files, covering schema validation, dataset loaders, the refusal parser (with comprehensive regression tests for the v2 expanded patterns), SLURM job generation, matrix reuse behaviour, analysis logic, v2 score-sidecar selection, and the judge-model validation layer (stub-backend tests, redaction enforcement, and an official-template regression 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three model pairs; runs completed on the NTU TC1 cluster on 2026-05-27.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DecodingTrust, and SafetyBench each provide a standardised pipeline that evaluates dozens of widely used models across multiple trustworthiness dimensions, including toxicity, bias, hallucination, robustness, fairness, and ethics.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 harmful compliance, bias, toxicity —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and AdvBench provide curated unsafe prompts and measure attack success rate — the fraction of unsafe prompts to which the model produces a harmful, complying response. XSTest provides benign prompts that are superficially similar to unsafe ones and measures over-refusal rate —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the Massive Multitask Language Understanding benchmark, has become the de facto general-capability anchor in safety studies.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accompanying BitsAndBytes library integrates directly with Hugging Face transformers, exposing four-bit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Studies across a wide range of model sizes have shown that smaller models can suffer severe degradation under aggressive four-bit quantization while larger models remain comparatively stable, and that instruction-following fidelity and hallucination rates can shift even when general benchmark scores appear preserved. Safety-specific studies have flagged that PTQ can degrade alignment behaviour, and an emerging line of research proposes safety-preserving quantization methods explicitly designed to mitigate these effects. Importantly, most existing quantization studies evaluate either perplexity or general capability, with safety considered (if at all) as a separate axis rather than jointly with capability.</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 2B, Qwen 4B, and Llama 3.2 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Crucially,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1.7 billion and four billion parameters serve as the primary within-family comparison and provide both a quantization axis and a scale axis. The Llama 3.2 3B pair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Three benchmarks are used. Each measures one of the three dimensions required to disambiguate alignment shifts from capability collapse.</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w:t>
      </w:r>
    </w:p>
    <w:p>
      <w:pPr>
        <w:spacing w:after="160" w:line="300"/>
        <w:jc w:val="both"/>
      </w:pPr>
      <w:r>
        <w:rPr>
          <w:rFonts w:ascii="Calibri" w:cs="Calibri" w:eastAsia="Calibri" w:hAnsi="Calibri"/>
          <w:sz w:val="22"/>
          <w:szCs w:val="22"/>
        </w:rPr>
        <w:t xml:space="preserve">HarmBench is selected as the harmful-compliance benchmark because it is the most widely adopted adversarial-prompt collection in contemporary safety research and provides a stable definition of attack success. The walledai release on Hugging Face is used with the standard config. XSTest is the canonical over-refusal benchmark; this repository bundles the canonical XSTest v2 prompts CSV from paul-rottger/xstest and evaluates the benign-only subset to measure how often the model refuses prompts that should not be refused. MMLU is used as the general-capability anchor.</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Deterministic Refusal Detection</w:t>
      </w:r>
    </w:p>
    <w:p>
      <w:pPr>
        <w:spacing w:after="160" w:line="300"/>
        <w:jc w:val="both"/>
      </w:pPr>
      <w:r>
        <w:rPr>
          <w:rFonts w:ascii="Calibri" w:cs="Calibri" w:eastAsia="Calibri" w:hAnsi="Calibri"/>
          <w:sz w:val="22"/>
          <w:szCs w:val="22"/>
        </w:rPr>
        <w:t xml:space="preserve">All refusal scoring is performed by deterministic regex-based pattern matching rather than by a separate judge LLM. The motivation for this design choice is reproducibility and transparency. Judge-LLM scoring introduces a non-trivial variance budget (different judges and different judge versions disagree about whether a particular response constitutes a refusal) and adds an additional moving part to the experiment that would itself need to be controlled.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 its potential to miss nuanced or euphemistic refusals — is explicitly acknowledged in the Limitations chapter and motivates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Sufficient for short HarmBench refusals and MMLU answers;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128-token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on the discordant prompts — those scored harmful under exactly one member —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 an over-refusal regression on its own axis, not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(eighteen scripts for the six-model, three-benchmark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178 automated tests across twelve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178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178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and three model repositories (Qwen3-1.7B, Qwen3-4B, Llama 3.2 3B). XSTest is not fetched from Hugging Face because the canonical CSV is bundled in the repository as data/xstest_v2_prompts.csv. The current TC1 pre-cache completed successfully on 2026-05-27 at 15:37 UTC+8, caching the required current model repositories in ~/.cache/huggingface/hub: Qwen3-1.7B (4.08 GB), Qwen3-4B (8.06 GB), and Llama 3.2 3B (12.9 GB), plus small dataset files.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 one per model alias. Each script runs the full three-benchmark suite for its model with the model loaded only once, exploiting the matrix runner's reuse_loaded_model=True default.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so the entire study can be re-executed (or selectively rerun) from any future repository checkout.</w:t>
      </w:r>
    </w:p>
    <w:p>
      <w:pPr>
        <w:pStyle w:val="Heading1"/>
        <w:pageBreakBefore/>
        <w:spacing w:after="200" w:before="360"/>
      </w:pPr>
      <w:r>
        <w:rPr>
          <w:rFonts w:ascii="Calibri" w:cs="Calibri" w:eastAsia="Calibri" w:hAnsi="Calibri"/>
          <w:b/>
          <w:bCs/>
          <w:sz w:val="32"/>
          <w:szCs w:val="32"/>
        </w:rPr>
        <w:t xml:space="preserve">Chapter 6 — Results and Analysis</w:t>
      </w:r>
    </w:p>
    <w:p>
      <w:pPr>
        <w:spacing w:after="160" w:line="300"/>
        <w:jc w:val="both"/>
      </w:pPr>
      <w:r>
        <w:rPr>
          <w:rFonts w:ascii="Calibri" w:cs="Calibri" w:eastAsia="Calibri" w:hAnsi="Calibri"/>
          <w:sz w:val="22"/>
          <w:szCs w:val="22"/>
        </w:rPr>
        <w:t xml:space="preserve">All six experimental runs completed successfully on the NTU TC1 GPU cluster on 2026-05-27 (SLURM jobs 60976–60981). Three matched pairs were evaluated: Qwen3-1.7B (jobs 60976/60977), Qwen3-4B (jobs 60978/60979), and Llama 3.2 3B-Instruct (jobs 60980/60981). Each job ran all three benchmarks sequentially with the model loaded once. The results are presented in Table 6.1 (per-pair raw metrics) and Table 6.2 (quantization deltas and interpretation labels). Detailed per-pair observations are in §6.6 (Qwen 2B), §6.8 (Qwen 4B), and §6.10 (Llama 3.2 3B). The within-family scale analysis (RQ4) is in §6.2 and §6.9. The cross-family comparison (RQ5) is in §6.11.</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three model pairs together with bootstrap 95% confidence intervals on the deltas. HarmBench Attack Success Rate is reported under the official HarmBench classifier (the primary scorer; see §6.1.1 and §6.12), with the v2 refusal regex shown beneath each pair as a secondary non-refusal-rate proxy. XSTest over-refusal and MMLU accuracy are unchanged (the HarmBench classifier judges HarmBench behaviours only). Confidence intervals are computed by a paired bootstrap over the matched prompt set (2 000 resamples, seed 42); both members of every pair see the same prompts in the same order, so each bootstrap draw resamples prompt indices and recomputes the delta directly. A delta is marked statistically significant when its 95% CI excludes zero.</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[+0.010, +0.100]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[−0.052,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0.533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[−0.137, −0.037]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[−0.000,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 [+0.025, +0.110]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[−0.024,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[−0.080, −0.007]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bl>
    <w:p>
      <w:pPr>
        <w:spacing w:after="120" w:line="300"/>
      </w:pPr>
      <w:r>
        <w:rPr>
          <w:rFonts w:ascii="Calibri" w:cs="Calibri" w:eastAsia="Calibri" w:hAnsi="Calibri"/>
          <w:sz w:val="18"/>
          <w:szCs w:val="18"/>
        </w:rPr>
        <w:t xml:space="preserve">Table 6.1  Complete per-pair results with paired bootstrap 95% CIs on the deltas. "Sig?" = whether the CI excludes zero. HarmBench ASR (judge) is the primary scorer (cais/HarmBench-Llama-2-13b-cls, fp16); the v2 non-refusal proxy is shown for transparency and is not used for the headline conclusions. Judge CIs from `results/analysis/judge_agreement.json`; v2/MMLU/XSTest CIs from `results/analysis/pairwise_deltas.json`.</w:t>
      </w:r>
    </w:p>
    <w:p>
      <w:pPr>
        <w:spacing w:after="160" w:line="300"/>
        <w:jc w:val="both"/>
      </w:pPr>
      <w:r>
        <w:rPr>
          <w:rFonts w:ascii="Calibri" w:cs="Calibri" w:eastAsia="Calibri" w:hAnsi="Calibri"/>
          <w:sz w:val="22"/>
          <w:szCs w:val="22"/>
        </w:rPr>
        <w:t xml:space="preserve">Under the primary (judge) scorer, the statistically significant deltas are: Qwen 1.7B ΔASR (+0.055, CI [+0.010, +0.100]), Qwen 1.7B ΔMMLU (−0.087), and Llama 3.2 3B ΔMMLU (−0.043). The Qwen 1.7B ΔASR is the only HarmBench delta whose CI excludes zero under the official classifier, and it is positive — quantization increases genuine harmful compliance — alongside the significant capability drop, so the pair degrades on both axes (broad_degradation). The Qwen 4B ΔASR is positive but directional only (+0.025, CI touches zero). The Llama ΔASR is essentially zero. Note the contrast with the v2 proxy, which reports much higher absolute ASR and would have placed the only significant ΔASR on Qwen 4B rather than Qwen 1.7B — the divergence is analysed in §6.12. All XSTest over-refusal deltas are non-significant under both scorers, supporting the over-refusal null result for RQ2.</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All HarmBench and XSTest figures in this report are produced by the v2 (expanded) refusal classifier (`ethical_benchmark/benchmarks/utils.py`, scorer version `v2_expanded_refusal_patterns_2026-05-28`). The v1 classifier (pre-2026-05-28) used a narrow set of 14 refusal patterns that missed the most common modern refusal templates —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three pairs, enabling both the within-family scale comparison (RQ4)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2600"/>
        <w:gridCol w:w="2600"/>
        <w:gridCol w:w="270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  (Qwen3-1.7B)</w:t>
            </w:r>
          </w:p>
        </w:tc>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  (Qwen3-4B)</w:t>
            </w:r>
          </w:p>
        </w:tc>
        <w:tc>
          <w:tcPr>
            <w:tcW w:type="dxa" w:w="2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llama_3_2_3b  (Llama3.2-3B)</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0.18</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whose paired-bootstrap 95% CI excludes zero. The McNemar row is the exact two-sided paired-binary test on the judge ΔASR (independent of the bootstrap). Under the judge, three deltas are significant: Qwen 1.7B ΔASR (also McNemar p = 0.027), Qwen 1.7B ΔMMLU, and Llama ΔMMLU. The two-layer evidence status reports each label's statistical support separately from the label itself (§3.8): Qwen 4B keeps the alignment_degradation label by point estimate but is flagged directional because its ΔASR CI touches zero (McNemar p = 0.18) — it is not a statistically confirmed regression. Labels are judge-primary (D16).</w:t>
      </w:r>
    </w:p>
    <w:p>
      <w:pPr>
        <w:spacing w:after="160" w:line="300"/>
        <w:jc w:val="both"/>
      </w:pPr>
      <w:r>
        <w:rPr>
          <w:rFonts w:ascii="Calibri" w:cs="Calibri" w:eastAsia="Calibri" w:hAnsi="Calibri"/>
          <w:sz w:val="22"/>
          <w:szCs w:val="22"/>
        </w:rPr>
        <w:t xml:space="preserve">Table 6.2 reveals a striking scale effect on capability. Under the same NF4 quantization procedure, the 1.7B model experiences large capability degradation — MMLU drops 8.7 percentage points (relative decline of 14.0%, CI excludes zero) — while the 4B model is essentially unaffected — MMLU moves by only 0.3 percentage points, well within sampling noise. The MMLU delta ratio (8.7 pp versus 0.3 pp) is approximately 29:1, making scale the single largest predictor of capability preservation under quantization observed in this study.</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Qwen3-1.7B's baseline HarmBench ASR is 0.600 while Qwen3-4B's is 0.240, so scaling from 1.7B to 4B reduces baseline harmful compliance by 36 percentage points. MMLU accuracy simultaneously rises from 0.620 to 0.747 (+12.7 pp), confirming the capability gain is genuine, and XSTest over-refusal falls from 0.052 to 0.028, indicating fewer false refusals on benign prompts. The 4B baseline therefore dominates the 1.7B baseline on every dimension under the v2 scorer.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The 1.7B pair produces a small, non-significant ΔASR of −0.025 with a large, significant ΔMMLU of −0.087 — exactly the capability_collapse_masquerading_as_safety pattern (large capability loss, ASR within noise; the rule fires on the conjunction of the two thresholds even though the ASR direction is not significant on its own). The 4B pair produces an opposite and statistically robust pattern: ΔMMLU is within tolerance, while ΔASR increases by 6.5 percentage points (CI [+0.025, +0.110]). Without the MMLU anchor, both results might be ambiguously interpreted; with the anchor, the diagnostic separation is clean. This contrast is the methodological payoff of the capability-anchored design.</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under the official classifier, NF4 quantization never reduces genuine harmful compliance and the one significant effect is in the smallest model. The Qwen 1.7B pair shows a significant ΔASR increase of +0.055 (CI [+0.010, +0.100]) alongside large capability loss; the Qwen 4B pair shows a directional, non-significant +0.025 at preserved capability; the Llama 3.2 3B pair shows ΔASR exactly at zero, paired with a significant ΔMMLU of −0.043. The capability dimension is directionally consistent (all three pairs have negative ΔMMLU; two significant, the Qwen 4B value within noise). On over-refusal, no ΔOR is significant. The composite picture is that NF4 quantization does not produce uniform safety effects across families and scales, all ΔASR point estimates are ≥ 0, and the one robust signal (Qwen 1.7B ASR increase) goes in the safety-worsening direction. See §6.11 for the full discussion.</w:t>
      </w:r>
    </w:p>
    <w:p>
      <w:pPr>
        <w:pStyle w:val="Heading2"/>
        <w:spacing w:after="140" w:before="280"/>
      </w:pPr>
      <w:r>
        <w:rPr>
          <w:rFonts w:ascii="Calibri" w:cs="Calibri" w:eastAsia="Calibri" w:hAnsi="Calibri"/>
          <w:b/>
          <w:bCs/>
          <w:sz w:val="26"/>
          <w:szCs w:val="26"/>
        </w:rPr>
        <w:t xml:space="preserve">6.4 Capability Anchoring</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Broad degradation: fallback —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three pairs in this study exemplify three of these six outcomes and illustrate why the capability anchor is necessary. For the qwen_2b pair, MMLU fell by 8.7 pp (−14.0% relative; CI [−0.137, −0.037], significant). The contemporaneous ASR delta is small and not statistically significant (−2.5 pp, CI [−0.070, +0.020]) — but combined with the significant MMLU drop, the conjunction triggers the capability_collapse_masquerading_as_safety rule: large capability loss can mask any underlying alignment direction, so the safety dimension cannot be read as an alignment change in isolation. For the qwen_4b pair, MMLU is preserved (−0.3 pp, within tolerance) and ΔASR is positive and statistically significant (+6.5 pp, CI [+0.025, +0.110]) — exactly the alignment_degradation condition. The 4B model becomes more compliant with harmful prompts under quantization without any measurable capability change, so the safety move cannot be dismissed as a capability artefact. For the llama_3_2_3b pair, MMLU drops 4.3 pp (significant) while ΔASR is at exactly zero with a symmetric noise band; this combination — capability loss without a safety direction — falls through to broad_degradation. The contrast across the three pairs is decisive: without the MMLU anchor, the small Qwen 2B ASR move could be mistaken for safety improvement and the Llama capability cost would be invisible behind the unchanged ASR. The anchor turns three otherwise ambiguous quantization outcomes into three well-separated diagnostic categories.</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Three statistical limitations should be borne in mind when interpreting the results. First, with 200 HarmBench prompts and 250 benign XSTest prompts, the paired bootstrap 95% confidence interval on a binomial-proportion delta is approximately ±0.05 (Table 6.1) — small deltas may not be statistically distinguishable from zero. Under the primary (judge) scorer, the Qwen 1.7B ΔASR (+0.055, CI [+0.010, +0.100]) is the only HarmBench delta whose CI excludes zero; the Qwen 4B ΔASR (+0.025, CI [−0.000, +0.055]) is directional but not significant, and the Llama ΔASR (0.000, CI [−0.020, +0.020]) is within noise. Second, decoding is deterministic at temperature 0.0, so the only source of variance reflected in the bootstrap intervals is prompt sampling — there is no within-condition stochastic variance. The one significant HarmBench delta (Qwen 1.7B) is corroborated by McNemar's exact paired test (p = 0.027) in addition to the bootstrap CI, so it does not rest on a single interval procedure; however, because both tests condition on the single greedy decode, a multi-seed (T = 0.7, top-p 0.8) sensitivity arm was run for the load-bearing Qwen 1.7B pair to estimate generation-level variance (§6.6.1). It reproduces the worsening direction on average (mean ΔASR +0.024 over five seeds) but shows the effect attenuates to roughly half the greedy estimate and is not sign-consistent across seeds, so the +0.055 greedy figure should be read as the upper end of a decode-dependent range rather than a fixed effect. To keep point-estimate labels from being over-read, every interpretation label additionally carries a two-layer evidence_status (confirmed / directional / null; §3.8): of the three pairs, Qwen 1.7B and Llama are confirmed and Qwen 4B is directional.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w:t>
      </w:r>
    </w:p>
    <w:p>
      <w:pPr>
        <w:pStyle w:val="Heading2"/>
        <w:spacing w:after="140" w:before="280"/>
      </w:pPr>
      <w:r>
        <w:rPr>
          <w:rFonts w:ascii="Calibri" w:cs="Calibri" w:eastAsia="Calibri" w:hAnsi="Calibri"/>
          <w:b/>
          <w:bCs/>
          <w:sz w:val="26"/>
          <w:szCs w:val="26"/>
        </w:rPr>
        <w:t xml:space="preserve">6.6 Observations: Qwen 2B Pair</w:t>
      </w:r>
    </w:p>
    <w:p>
      <w:pPr>
        <w:spacing w:after="160" w:line="300"/>
        <w:jc w:val="both"/>
      </w:pPr>
      <w:r>
        <w:rPr>
          <w:rFonts w:ascii="Calibri" w:cs="Calibri" w:eastAsia="Calibri" w:hAnsi="Calibri"/>
          <w:sz w:val="22"/>
          <w:szCs w:val="22"/>
        </w:rPr>
        <w:t xml:space="preserve">Under the official HarmBench classifier, the Qwen 1.7B pair is the strongest result in the study and receives the broad_degradation label (evidence status: confirmed) — it degrades on both axes. HarmBench ASR rises significantly (0.135 → 0.190, ΔASR = +0.055, 95% CI [+0.010, +0.100], significant) and MMLU accuracy falls significantly (0.620 → 0.533, ΔMMLU = −0.087, CI [−0.137, −0.037], significant). Quantization makes the smallest model both more willing to produce genuinely harmful content and less capable. Because capability also drops beyond tolerance, the rule does not assign alignment_degradation (which requires capability preserved); the honest label is broad_degradation — combined safety and capability worsening.</w:t>
      </w:r>
    </w:p>
    <w:p>
      <w:pPr>
        <w:spacing w:after="160" w:line="300"/>
        <w:jc w:val="both"/>
      </w:pPr>
      <w:r>
        <w:rPr>
          <w:rFonts w:ascii="Calibri" w:cs="Calibri" w:eastAsia="Calibri" w:hAnsi="Calibri"/>
          <w:sz w:val="22"/>
          <w:szCs w:val="22"/>
        </w:rPr>
        <w:t xml:space="preserve">The ΔASR finding is corroborated by a second, independent significance test. Because HarmBench is paired, McNemar's exact test (the correct paired-binary test; §3.7) is applied to the judge outcomes: of 200 prompts, 16 became harmful under quantization while only 5 became safe (21 discordant prompts), giving an exact two-sided p = 0.027. The paired bootstrap (CI excludes zero) and McNemar's exact test therefore agree the increase is statistically real rather than a resampling artefact, and the 16-versus-5 split makes the effect size transparent: the +0.055 net delta is the residual of a markedly asymmetric flip. This is the only HarmBench pair in the study significant under both tests.</w:t>
      </w:r>
    </w:p>
    <w:p>
      <w:pPr>
        <w:spacing w:after="160" w:line="300"/>
        <w:jc w:val="both"/>
      </w:pPr>
      <w:r>
        <w:rPr>
          <w:rFonts w:ascii="Calibri" w:cs="Calibri" w:eastAsia="Calibri" w:hAnsi="Calibri"/>
          <w:sz w:val="22"/>
          <w:szCs w:val="22"/>
        </w:rPr>
        <w:t xml:space="preserve">Note the sharp contrast with the secondary v2 proxy, which reports a much higher absolute non-refusal rate (0.600 → 0.575) and a small negative delta (−0.025) that on its own looked like a non-event. The judge reveals that of the many Qwen 1.7B responses the regex counted as "not a refusal", only ~13–19% are genuine instances of the harmful behaviour — and that the *true* harmful-compliance rate rises significantly under quantization, the opposite direction from the proxy's point estimate. This is the clearest single illustration in the study of why the official classifier, not refusal-counting, is the appropriate scorer (see §6.12).</w:t>
      </w:r>
    </w:p>
    <w:p>
      <w:pPr>
        <w:spacing w:after="160" w:line="300"/>
        <w:jc w:val="both"/>
      </w:pPr>
      <w:r>
        <w:rPr>
          <w:rFonts w:ascii="Calibri" w:cs="Calibri" w:eastAsia="Calibri" w:hAnsi="Calibri"/>
          <w:sz w:val="22"/>
          <w:szCs w:val="22"/>
        </w:rPr>
        <w:t xml:space="preserve">The XSTest over-refusal rate declined modestly (0.052 → 0.028, ΔOR = −0.024, CI [−0.052, 0.000], not significant). The over-refusal change is within noise; the pair's safety story is on the harmful-compliance axis (judge), not the over-refusal axis. Together the three dimensions describe a model that, under NF4 compression, produces more genuinely harmful completions, refuses benign prompts at a similar (slightly lower) rate, and answers fewer factual questions correctly.</w:t>
      </w:r>
    </w:p>
    <w:p>
      <w:pPr>
        <w:spacing w:after="160" w:line="300"/>
        <w:jc w:val="both"/>
      </w:pPr>
      <w:r>
        <w:rPr>
          <w:rFonts w:ascii="Calibri" w:cs="Calibri" w:eastAsia="Calibri" w:hAnsi="Calibri"/>
          <w:sz w:val="22"/>
          <w:szCs w:val="22"/>
        </w:rPr>
        <w:t xml:space="preserve">Subject-level MMLU breakdown supports the capability-decline reading. Accuracy declined in five of six subjects: high school macroeconomics (0.596 → 0.479, −11.7 pp), business ethics (0.680 → 0.560, −12.0 pp), clinical knowledge (0.729 → 0.563, −16.7 pp), college biology (0.576 → 0.515, −6.1 pp), and high school world history (0.643 → 0.571, −7.1 pp). A small gain in human ageing (0.523 → 0.568, +4.6 pp) is within the noise range expected for a 44-sample subject subset. The overall accuracy decline of 8.7 percentage points has a 95% CI of [−0.137, −0.037] and is robustly distinguishable from zero by the paired bootstrap.</w:t>
      </w:r>
    </w:p>
    <w:p>
      <w:pPr>
        <w:spacing w:after="160" w:line="300"/>
        <w:jc w:val="both"/>
      </w:pPr>
      <w:r>
        <w:rPr>
          <w:rFonts w:ascii="Calibri" w:cs="Calibri" w:eastAsia="Calibri" w:hAnsi="Calibri"/>
          <w:sz w:val="22"/>
          <w:szCs w:val="22"/>
        </w:rPr>
        <w:t xml:space="preserve">The Qwen 1.7B pair is the study's most consequential deployment finding: a 4-bit-quantized small model that is simultaneously less capable and measurably more compliant with harmful instructions than its full-precision counterpart. The capability anchor is what makes this unambiguous — the significant ΔMMLU rules out the optimistic reading, while the significant judge ΔASR rules out the dismissive one. The strength of the ΔASR half of this claim is qualified by the decoding-sensitivity check in §6.6.1; the ΔMMLU half is unaffected.</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 the one Priority-1 weakness (W1) that cannot be resolved by reanalysis of the existing artifacts. To estimate how stable the headline ΔASR is under realistic sampling, the Qwen 1.7B pair was re-run on HarmBench at the model publisher's recommended non-thinking setting (temperature 0.7, top-p 0.8) across five independent seeds, with both pair members scored by the same official HarmBench classifier used for the headline.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The judge ΔASR is positive in four of the five seeds (per-seed: −0.010, +0.050, +0.055, +0.020, +0.005), with mean +0.024, standard deviation 0.028, and range [−0.010, +0.055]. The quantization-raises-harm direction is therefore reproduced on average, but it attenuates to roughly half the greedy point estimate (+0.055, which itself coincides with the maximum seed) and is not sign-consistent across seeds — so the greedy figure is best read as the upper end of a decode-dependent range rather than a fixed effect. The instability is asymmetric: the 4-bit model's ASR is near-constant across seeds (~0.170), while the full-precision baseline's varies more widely (0.115–0.180), so the gap narrows on seeds where the baseline happens to comply more often. The secondary v2 proxy shows the same qualitative picture (mean ΔASR ≈ 0.000, range [−0.040, +0.025], also not sign-consistent). The arm tempers — but does not overturn — the headline: under realistic stochastic decoding the Qwen 1.7B safety regression is directional and small rather than the robust +0.055 the single greedy decode suggested. Results are written to results/analysis/sensitivity_multiseed.json; the symmetric Qwen 4B and Llama infrastructure is in place for a future extension across the full matrix.</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scaling from 1.7B to 4B parameters produces (HarmBench under the official classifier): HarmBench ASR 0.135 → 0.065 (−7.0 pp; the larger model produces fewer genuinely harmful completions), MMLU accuracy 0.620 → 0.747 (+12.7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much larger, 0.600 → 0.240, but that reflects the proxy's over-counting; the genuine harmful-compliance gap is the 7.0 pp figure.) This baseline divergence motivates the matched-pair design —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 4B Pair</w:t>
      </w:r>
    </w:p>
    <w:p>
      <w:pPr>
        <w:spacing w:after="160" w:line="300"/>
        <w:jc w:val="both"/>
      </w:pPr>
      <w:r>
        <w:rPr>
          <w:rFonts w:ascii="Calibri" w:cs="Calibri" w:eastAsia="Calibri" w:hAnsi="Calibri"/>
          <w:sz w:val="22"/>
          <w:szCs w:val="22"/>
        </w:rPr>
        <w:t xml:space="preserve">Under the official classifier, the Qwen 4B pair receives the alignment_degradation label by point estimate with evidence status directional — the effect is suggestive rather than statistically confirmed. HarmBench ASR rises from 0.065 to 0.090 (ΔASR = +0.025, 95% CI [−0.000, +0.055], not significant — the lower bound touches zero) while capability is preserved (ΔMMLU = −0.003, CI [−0.040, +0.033], not significant). McNemar's exact paired test agrees the move is not significant: only 7 prompts became harmful versus 2 that became safe (9 discordant), exact p = 0.18. Because capability is preserved and the ASR point estimate exceeds the harm tolerance, the rule assigns alignment_degradation; but both the bootstrap CI and McNemar's test include the null, so the two-layer scheme flags this as directional — a suggestive safety worsening, not a confirmed one.</w:t>
      </w:r>
    </w:p>
    <w:p>
      <w:pPr>
        <w:spacing w:after="160" w:line="300"/>
        <w:jc w:val="both"/>
      </w:pPr>
      <w:r>
        <w:rPr>
          <w:rFonts w:ascii="Calibri" w:cs="Calibri" w:eastAsia="Calibri" w:hAnsi="Calibri"/>
          <w:sz w:val="22"/>
          <w:szCs w:val="22"/>
        </w:rPr>
        <w:t xml:space="preserve">This is a notable demotion from the secondary v2 proxy, under which Qwen 4B had appeared to be the study's only statistically significant HarmBench result (proxy ΔASR = +0.065, CI [+0.025, +0.110]). The judge validation shows that the proxy's apparent significance was partly an artefact of refusal-counting: the regex marked many non-refusals as harmful, inflating both the level and the delta. On the genuine harmful-compliance measure, the 4B effect is real in direction but does not reach significance at n = 200.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0.065). XSTest over-refusal moves marginally (0.028 → 0.020, ΔOR = −0.008, not significant). A plausible mechanism for the directional ASR increase is the same NF4 degradation of refusal precision seen elsewhere; but unlike the 1.7B pair, the 4B model retains its capability, so any safety move here is not a capability artefact —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 a stark contrast with the 1.7B pair's five-of-six broad regression. Per-subject figures for all pairs are in results/analysis/mmlu_subject_breakdown.{json,csv}.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The 1.7B model degrades on both axes (broad_degradation: significant ΔASR and significant ΔMMLU). The 4B model preserves capability and shows only a directional, non-significant safety worsening (alignment_degradation by point estimate). The within-family contrast is therefore: the smaller model suffers a confirmed dual degradation, while the larger model is far more robust — a non-significant nudge on safety with capability intact. This is a cleaner scale story than the v2 proxy suggested, and it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six jobs evaluated and HarmBench ASR scored by the official classifier, it is now possible to give answers to all five research questions. Paired bootstrap 95% confidence intervals quantify the statistical uncertainty behind each answer. Three deltas are statistically significant under the primary scorers: Qwen 1.7B ΔASR (+0.055, judge), Qwen 1.7B ΔMMLU (−0.087), and Llama 3B ΔMMLU (−0.043). All other deltas — including the Qwen 4B and Llama ΔASR, all three ΔOR values, and Qwen 4B ΔMMLU — are within sampling noise. The Qwen 1.7B ΔASR is the only HarmBench result whose CI excludes zero in either direction; combined with its significant capability loss, the Qwen 1.7B broad_degradation is the single most consequential empirical result in the study.</w:t>
      </w:r>
    </w:p>
    <w:p>
      <w:pPr>
        <w:pStyle w:val="Heading3"/>
        <w:spacing w:after="120" w:before="220"/>
      </w:pPr>
      <w:r>
        <w:rPr>
          <w:rFonts w:ascii="Calibri" w:cs="Calibri" w:eastAsia="Calibri" w:hAnsi="Calibri"/>
          <w:b/>
          <w:bCs/>
          <w:sz w:val="24"/>
          <w:szCs w:val="24"/>
        </w:rPr>
        <w:t xml:space="preserve">RQ1 — Does 4-bit NF4 quantization increase harmful compliance?</w:t>
      </w:r>
    </w:p>
    <w:p>
      <w:pPr>
        <w:spacing w:after="160" w:line="300"/>
        <w:jc w:val="both"/>
      </w:pPr>
      <w:r>
        <w:rPr>
          <w:rFonts w:ascii="Calibri" w:cs="Calibri" w:eastAsia="Calibri" w:hAnsi="Calibri"/>
          <w:sz w:val="22"/>
          <w:szCs w:val="22"/>
        </w:rPr>
        <w:t xml:space="preserve">It does not reduce it in any pair, and the one statistically significant move is an increase. Under the official classifier, the Qwen 1.7B pair shows ΔASR = +0.055 (CI [+0.010, +0.100], significant) — quantization significantly increases genuine harmful compliance in the smallest model. The Qwen 4B pair shows ΔASR = +0.025 (CI [−0.000, +0.055]) — directionally worse but not significant. The Llama 3.2 3B pair shows ΔASR = 0.000 (CI [−0.020, +0.020]) — no change. All three point estimates are ≥ 0. The answer to RQ1: NF4 quantization never reduces true harmful compliance here, and in the smallest model it significantly increases it. The data refute any claim that quantization is safety-neutral or safety-improving on harmful compliance. (The secondary v2 proxy, which over-counts ASR, would have mislocated the only significant effect on Qwen 4B; the official classifier corrects this — see §6.12.)</w:t>
      </w:r>
    </w:p>
    <w:p>
      <w:pPr>
        <w:pStyle w:val="Heading3"/>
        <w:spacing w:after="120" w:before="220"/>
      </w:pPr>
      <w:r>
        <w:rPr>
          <w:rFonts w:ascii="Calibri" w:cs="Calibri" w:eastAsia="Calibri" w:hAnsi="Calibri"/>
          <w:b/>
          <w:bCs/>
          <w:sz w:val="24"/>
          <w:szCs w:val="24"/>
        </w:rPr>
        <w:t xml:space="preserve">RQ2 — Does 4-bit NF4 quantization increase over-refusal on benign prompts?</w:t>
      </w:r>
    </w:p>
    <w:p>
      <w:pPr>
        <w:spacing w:after="160" w:line="300"/>
        <w:jc w:val="both"/>
      </w:pPr>
      <w:r>
        <w:rPr>
          <w:rFonts w:ascii="Calibri" w:cs="Calibri" w:eastAsia="Calibri" w:hAnsi="Calibri"/>
          <w:sz w:val="22"/>
          <w:szCs w:val="22"/>
        </w:rPr>
        <w:t xml:space="preserve">No — all three ΔOR values are non-significant under the v2 scorer. Qwen 2B: ΔOR = −0.024 (CI [−0.052, 0.000], not significant). Qwen 4B: ΔOR = −0.008 (CI [−0.024, +0.008], not significant). Llama 3B: ΔOR = +0.016 (CI [−0.004, +0.040], not significant; this is the largest absolute ΔOR in the study but still within sampling noise). Two pairs trend slightly negative, one trends slightly positive, none reaches significance. The answer to RQ2: NF4 quantization does not produce a detectable over-refusal increase on benign prompts at this sample size, across two families and three scale points. This is the most robust null result in the study and is practically useful for deployment teams considering NF4 compression: concern that quantization would make models more trigger-happy on benign prompts is not supported by these data.</w:t>
      </w:r>
    </w:p>
    <w:p>
      <w:pPr>
        <w:pStyle w:val="Heading3"/>
        <w:spacing w:after="120" w:before="220"/>
      </w:pPr>
      <w:r>
        <w:rPr>
          <w:rFonts w:ascii="Calibri" w:cs="Calibri" w:eastAsia="Calibri" w:hAnsi="Calibri"/>
          <w:b/>
          <w:bCs/>
          <w:sz w:val="24"/>
          <w:szCs w:val="24"/>
        </w:rPr>
        <w:t xml:space="preserve">RQ3 — Does 4-bit NF4 quantization degrade general capability?</w:t>
      </w:r>
    </w:p>
    <w:p>
      <w:pPr>
        <w:spacing w:after="160" w:line="300"/>
        <w:jc w:val="both"/>
      </w:pPr>
      <w:r>
        <w:rPr>
          <w:rFonts w:ascii="Calibri" w:cs="Calibri" w:eastAsia="Calibri" w:hAnsi="Calibri"/>
          <w:sz w:val="22"/>
          <w:szCs w:val="22"/>
        </w:rPr>
        <w:t xml:space="preserve">The answer depends strongly on model scale and family. The Qwen3-1.7B model loses 8.7 percentage points of MMLU accuracy under NF4 quantization (CI [−0.137, −0.037], significant), a decline spanning five of six evaluated subjects. The Llama 3.2 3B model loses 4.3 percentage points (CI [−0.080, −0.007], significant), spanning four of six subjects. The Qwen3-4B model loses only 0.3 percentage points (CI [−0.040, +0.033], not significant — within measurement noise). Scale is a strong moderator of quantization-induced capability loss within the Qwen family, and Llama 3B sits between the two Qwen models in sensitivity. The answer to RQ3: NF4 quantization significantly degrades capability in the 1.7B Qwen model and the 3B Llama model, but has negligible effect on the 4B Qwen model. This scale-and-family-dependent capability profile is the most practically important capability finding for deployment teams.</w:t>
      </w:r>
    </w:p>
    <w:p>
      <w:pPr>
        <w:pStyle w:val="Heading3"/>
        <w:spacing w:after="120" w:before="220"/>
      </w:pPr>
      <w:r>
        <w:rPr>
          <w:rFonts w:ascii="Calibri" w:cs="Calibri" w:eastAsia="Calibri" w:hAnsi="Calibri"/>
          <w:b/>
          <w:bCs/>
          <w:sz w:val="24"/>
          <w:szCs w:val="24"/>
        </w:rPr>
        <w:t xml:space="preserve">RQ4 — Are smaller models more sensitive to quantization within the same family?</w:t>
      </w:r>
    </w:p>
    <w:p>
      <w:pPr>
        <w:spacing w:after="160" w:line="300"/>
        <w:jc w:val="both"/>
      </w:pPr>
      <w:r>
        <w:rPr>
          <w:rFonts w:ascii="Calibri" w:cs="Calibri" w:eastAsia="Calibri" w:hAnsi="Calibri"/>
          <w:sz w:val="22"/>
          <w:szCs w:val="22"/>
        </w:rPr>
        <w:t xml:space="preserve">Yes — clearly, and on both axes. On capability, the MMLU delta ratio between Qwen 1.7B and Qwen 4B is approximately 29:1 (−8.7 pp versus −0.3 pp): the 1.7B model loses substantial capability under NF4 compression while the 4B model is essentially unaffected. On safety (judge), the 1.7B model shows a significant ΔASR of +0.055 while the 4B model shows only a non-significant +0.025. So the smaller model is more sensitive on every dimension: it suffers a confirmed dual degradation (broad_degradation), while the larger model preserves capability and shows only a directional, unconfirmed safety nudge. The answer to RQ4: smaller Qwen models are substantially more sensitive to NF4 quantization than larger ones, on both capability and harmful compliance — and the official-classifier scoring makes this within-family contrast sharper, not weaker, than the regex proxy suggested.</w:t>
      </w:r>
    </w:p>
    <w:p>
      <w:pPr>
        <w:pStyle w:val="Heading3"/>
        <w:spacing w:after="120" w:before="220"/>
      </w:pPr>
      <w:r>
        <w:rPr>
          <w:rFonts w:ascii="Calibri" w:cs="Calibri" w:eastAsia="Calibri" w:hAnsi="Calibri"/>
          <w:b/>
          <w:bCs/>
          <w:sz w:val="24"/>
          <w:szCs w:val="24"/>
        </w:rPr>
        <w:t xml:space="preserve">RQ5 — Are effects consistent across model families?</w:t>
      </w:r>
    </w:p>
    <w:p>
      <w:pPr>
        <w:spacing w:after="160" w:line="300"/>
        <w:jc w:val="both"/>
      </w:pPr>
      <w:r>
        <w:rPr>
          <w:rFonts w:ascii="Calibri" w:cs="Calibri" w:eastAsia="Calibri" w:hAnsi="Calibri"/>
          <w:sz w:val="22"/>
          <w:szCs w:val="22"/>
        </w:rPr>
        <w:t xml:space="preserve">Partially. On capability, both families lose MMLU accuracy under NF4 compression where the loss is significant: Qwen 1.7B (−8.7 pp) and Llama 3B (−4.3 pp); the Qwen 4B model is the exception with non-significant loss. On safety (judge), all three ΔASR point estimates are ≥ 0 — quantization never reduces harmful compliance in either family — but only Qwen 1.7B reaches significance. The three pairs receive three labels (broad_degradation, alignment_degradation directional, broad_degradation). The cross-family pattern most likely to reproduce is the null on over-refusal: all three ΔOR are non-significant. The full answer to RQ5: across both families, NF4 quantization is never safety-improving on harmful compliance and never significantly affects over-refusal; capability loss is consistent in direction where significant. The one confirmed safety regression (Qwen 1.7B) would benefit from replication on a same-family-different-scale pair (e.g. Qwen 0.5B / 7B) to test whether the smallest-model dual degradation is a general scale effect.</w:t>
      </w:r>
    </w:p>
    <w:p>
      <w:pPr>
        <w:pStyle w:val="Heading3"/>
        <w:spacing w:after="120" w:before="220"/>
      </w:pPr>
      <w:r>
        <w:rPr>
          <w:rFonts w:ascii="Calibri" w:cs="Calibri" w:eastAsia="Calibri" w:hAnsi="Calibri"/>
          <w:b/>
          <w:bCs/>
          <w:sz w:val="24"/>
          <w:szCs w:val="24"/>
        </w:rPr>
        <w:t xml:space="preserve">Discussion: What the full three-pair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moved the study's one significant safety regression from Qwen 4B (under the proxy) to Qwen 1.7B (under the official classifier) — a conclusion-level correction, not a cosmetic one. Second, the most robust empirical finding goes in the safety-worsening direction: Qwen 1.7B's significant ΔASR (+0.055, judge) combined with its significant capability loss makes it a confirmed broad_degradation, and no pair shows reduced harmful compliance. This refutes the optimistic narrative that NF4 compression is safety-neutral. Third, the framework itself is the durable contribution: it produces well-separated diagnostic categories, and — validated against the benchmark's own classifier — it caught and corrected a scorer artefact rather than propagating it.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 3.2 3B Pair</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the most refusal-calibrated of the three models in the study under the official classifier. HarmBench ASR at full precision is 0.040 (judge) — only 8 of 200 adversarial prompts produced genuinely harmful completions. XSTest over-refusal is 0.044, also low. MMLU accuracy is 0.610, closely matching the Qwen3-1.7B baseline (0.620). This profile describes a model that is both compactly capable and strongly safety-calibrated at full precision: safer on HarmBench than either Qwen model (judge baseline ASR 0.135 for Qwen 1.7B, 0.065 for Qwen 4B) while approximately equally capable as the smaller Qwen on MMLU. Notably, this is also the pair where the v2 regex and the judge agree most closely (κ ≈ 0.69–0.79; §6.12) —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broad_degradation. HarmBench ASR is unchanged at 0.040 → 0.040 (ΔASR = 0.000, CI [−0.020, +0.020], not significant): the model retains its strong refusal behaviour under compression. XSTest over-refusal rises modestly from 0.044 to 0.060 (ΔOR = +0.016, CI [−0.004, +0.040], not significant). MMLU accuracy falls by 4.3 percentage points (0.610 → 0.567, −7.0% relative; CI [−0.080, −0.007], statistically significant). The MMLU drop spans four of six subjects: high school macroeconomics (0.543 → 0.468, −7.5 pp), college biology (0.667 → 0.545, −12.1 pp), clinical knowledge (0.667 → 0.583, −8.3 pp), and human aging (0.636 → 0.614, −2.3 pp). Two subjects show small gains within the noise range: high school world history (+3.6 pp) and business ethics (+4.0 pp). The MMLU decline is moderate — larger than Qwen 4B (−0.3 pp) but smaller than Qwen 1.7B (−8.7 pp), placing Llama between the two Qwen models in capability sensitivity.</w:t>
      </w:r>
    </w:p>
    <w:p>
      <w:pPr>
        <w:spacing w:after="160" w:line="300"/>
        <w:jc w:val="both"/>
      </w:pPr>
      <w:r>
        <w:rPr>
          <w:rFonts w:ascii="Calibri" w:cs="Calibri" w:eastAsia="Calibri" w:hAnsi="Calibri"/>
          <w:sz w:val="22"/>
          <w:szCs w:val="22"/>
        </w:rPr>
        <w:t xml:space="preserve">Why broad_degradation? With ΔASR within noise and a significant ΔMMLU, the rule falls through to the fallback label: a meaningful capability cost without a detectable safety direction. This is diagnostically informative — the Llama pair refutes any simple narrative that NF4 universally weakens alignment. Llama's strong baseline safety calibration is preserved under quantization at the cost of measurable capability loss, with no accompanying safety regression. The contrast with Qwen 1.7B is the sharpest in the study: at nearly identical baseline capability (MMLU 0.610 vs 0.620), the smaller Qwen degrades on both axes under quantization while Llama holds its safety and loses only capability — strong evidence that the alignment recipe, not the parameter count alone, governs how quantization affects harmful compliance.</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pairs side by side.</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0.620; Llama 3.2 3B: 0.610), the Llama model is more safety-calibrated than the smaller Qwen under the official classifier: baseline HarmBench ASR is 0.040 for Llama vs 0.135 for Qwen 1.7B — a 9.5 pp difference in favour of Llama on the safety axis at equivalent capability. XSTest over-refusal at baseline is 0.044 for Llama vs 0.052 for Qwen 1.7B —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(9.5 pp) is of the same order as the largest single quantization delta in the study (Qwen 1.7B, +5.5 pp). The 4B Qwen baseline at 0.065 sits between these two.</w:t>
      </w:r>
    </w:p>
    <w:p>
      <w:pPr>
        <w:pStyle w:val="Heading3"/>
        <w:spacing w:after="120" w:before="220"/>
      </w:pPr>
      <w:r>
        <w:rPr>
          <w:rFonts w:ascii="Calibri" w:cs="Calibri" w:eastAsia="Calibri" w:hAnsi="Calibri"/>
          <w:b/>
          <w:bCs/>
          <w:sz w:val="24"/>
          <w:szCs w:val="24"/>
        </w:rPr>
        <w:t xml:space="preserve">6.11.2 Harmful compliance: one significant delta, in the worsening direction, in the smallest model</w:t>
      </w:r>
    </w:p>
    <w:p>
      <w:pPr>
        <w:spacing w:after="160" w:line="300"/>
        <w:jc w:val="both"/>
      </w:pPr>
      <w:r>
        <w:rPr>
          <w:rFonts w:ascii="Calibri" w:cs="Calibri" w:eastAsia="Calibri" w:hAnsi="Calibri"/>
          <w:sz w:val="22"/>
          <w:szCs w:val="22"/>
        </w:rPr>
        <w:t xml:space="preserve">Under the official classifier, only one of the three ΔASR values is statistically significant: Qwen 1.7B (+0.055, CI [+0.010, +0.100]) — a safety regression in the smallest model. The Qwen 4B ΔASR (+0.025, CI [−0.000, +0.055]) is directional but not significant, and the Llama ΔASR (0.000, CI [−0.020, +0.020]) is null. All three point estimates are ≥ 0: NF4 quantization never reduces genuine harmful compliance here. The one robust effect is that the smallest model becomes significantly more willing to produce harmful content under compression. (This is the opposite of where the v2 proxy placed the significant effect — the proxy's apparent Qwen 4B significance was an over-counting artefact; see §6.12.) The Llama baseline is so strongly safety-calibrated (judge ASR = 0.040) that little headroom exists for change; whether NF4 would alter ASR more visibly in a less strongly-aligned Llama variant is an open question.</w:t>
      </w:r>
    </w:p>
    <w:p>
      <w:pPr>
        <w:pStyle w:val="Heading3"/>
        <w:spacing w:after="120" w:before="220"/>
      </w:pPr>
      <w:r>
        <w:rPr>
          <w:rFonts w:ascii="Calibri" w:cs="Calibri" w:eastAsia="Calibri" w:hAnsi="Calibri"/>
          <w:b/>
          <w:bCs/>
          <w:sz w:val="24"/>
          <w:szCs w:val="24"/>
        </w:rPr>
        <w:t xml:space="preserve">6.11.3 Over-refusal: consistent null result across families</w:t>
      </w:r>
    </w:p>
    <w:p>
      <w:pPr>
        <w:spacing w:after="160" w:line="300"/>
        <w:jc w:val="both"/>
      </w:pPr>
      <w:r>
        <w:rPr>
          <w:rFonts w:ascii="Calibri" w:cs="Calibri" w:eastAsia="Calibri" w:hAnsi="Calibri"/>
          <w:sz w:val="22"/>
          <w:szCs w:val="22"/>
        </w:rPr>
        <w:t xml:space="preserve">The XSTest over-refusal rate is the most consistent cross-family null. None of the three ΔOR deltas is statistically significant: Qwen 2B (−0.024, CI [−0.052, 0.000], not significant), Qwen 4B (−0.008, CI [−0.024, +0.008], not significant), and Llama 3B (+0.016, CI [−0.004, +0.040], not significant). Two pairs trend slightly negative, one trends slightly positive, none is separable from zero. This null finding spans two families and three scale points and is practically useful for deployment: the concern that NF4 compression would make models excessively conservative on benign prompts is not supported by these data. The largest single over-refusal effect is on Llama (+0.016) and is itself a borderline-direction signal — quantization may slightly increase Llama's already-low rate of false refusal — but the CI does not exclude zero and the absolute magnitude is small.</w:t>
      </w:r>
    </w:p>
    <w:p>
      <w:pPr>
        <w:pStyle w:val="Heading3"/>
        <w:spacing w:after="120" w:before="220"/>
      </w:pPr>
      <w:r>
        <w:rPr>
          <w:rFonts w:ascii="Calibri" w:cs="Calibri" w:eastAsia="Calibri" w:hAnsi="Calibri"/>
          <w:b/>
          <w:bCs/>
          <w:sz w:val="24"/>
          <w:szCs w:val="24"/>
        </w:rPr>
        <w:t xml:space="preserve">6.11.4 Capability: directionally consistent where significant, magnitude varies</w:t>
      </w:r>
    </w:p>
    <w:p>
      <w:pPr>
        <w:spacing w:after="160" w:line="300"/>
        <w:jc w:val="both"/>
      </w:pPr>
      <w:r>
        <w:rPr>
          <w:rFonts w:ascii="Calibri" w:cs="Calibri" w:eastAsia="Calibri" w:hAnsi="Calibri"/>
          <w:sz w:val="22"/>
          <w:szCs w:val="22"/>
        </w:rPr>
        <w:t xml:space="preserve">Two of three pairs lose MMLU accuracy significantly: Qwen 1.7B (−8.7 pp, CI [−0.137, −0.037]) and Llama 3B (−4.3 pp, CI [−0.080, −0.007]). The Qwen 4B pair is essentially neutral (−0.3 pp, CI [−0.040, +0.033], not significant). All three point estimates are negative; two are significant. The Llama 3B value (−4.3 pp) is intermediate between the two Qwen models. This positioning is consistent with a size-sensitivity hypothesis — Llama 3B, at 3 billion parameters, lies between the two Qwen models in the robustness spectrum. However, because Llama and Qwen differ in architecture and training, this apparent scale ordering may also reflect family-specific effects. More data points (e.g., Qwen at 7B or Llama at 1B) would be needed to confirm whether the ordering reflects a size effect or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the three interpretation labels are broad_degradation (Qwen 1.7B), alignment_degradation–directional (Qwen 4B), and broad_degradation (Llama 3B). They collectively answer the study's central question: "do observed safety changes under quantization reflect alignment shifts or capability artefacts?" The Qwen 1.7B pair degrades on both axes — a significant ASR increase and a significant capability loss — the confirmed worst case and the study's most consequential deployment finding. The Qwen 4B pair preserves capability and shows only a directional, non-significant ASR increase. The Llama pair is a capability cost without a safety direction. Two of the three pairs (Qwen 1.7B, Llama) carry significant capability loss, and none shows reduced harmful compliance. The central scientific finding is the framework's diagnostic value — sharpened by the fact that validating it against the benchmark's own classifier relocated the one robust safety regression from Qwen 4B (regex proxy) to Qwen 1.7B (official classifier). The data refute the optimistic narrative that NF4 quantization is safety-neutral or safety-improving in this scale range.</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left to a future refusal-style judge.</w:t>
      </w:r>
    </w:p>
    <w:p>
      <w:pPr>
        <w:spacing w:after="160" w:line="300"/>
        <w:jc w:val="both"/>
      </w:pPr>
      <w:r>
        <w:rPr>
          <w:rFonts w:ascii="Calibri" w:cs="Calibri" w:eastAsia="Calibri" w:hAnsi="Calibri"/>
          <w:sz w:val="22"/>
          <w:szCs w:val="22"/>
        </w:rPr>
        <w:t xml:space="preserve">Methodology and setup. The judge classified every saved (behavior, generation) pair for all six models (n = 200 each, 1 200 total) on the NTU TC1 cluster via sbatch in offline mode on 2026-06-06 (job 61047). It ran in full precision (float16) on a 32 GB Tesla V100 — recorded in summary.judge.harmbench_cls.json — because the judge is the reference instrument validating the quantized target models, and quantizing the judge itself would reintroduce the very confound the check exists to rule out. All 1 200 generations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Figures are produced locally by scripts/judge_agreement.py and stored in results/analysis/judge_agreement.{json,csv}.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53.5%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61.5%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82.5%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78.5%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97.0%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0.79</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From results/analysis/judge_agreement.json.</w:t>
      </w:r>
    </w:p>
    <w:p>
      <w:pPr>
        <w:spacing w:after="160" w:line="300"/>
        <w:jc w:val="both"/>
      </w:pPr>
      <w:r>
        <w:rPr>
          <w:rFonts w:ascii="Calibri" w:cs="Calibri" w:eastAsia="Calibri" w:hAnsi="Calibri"/>
          <w:sz w:val="22"/>
          <w:szCs w:val="22"/>
        </w:rPr>
        <w:t xml:space="preserve">Result 1 — the v2 regex systematically over-counts ASR, unevenly by family. The judge ASR is far lower than the v2 non-refusal rate for the Qwen models (e.g. Qwen 1.7B base 0.135 vs 0.600; Qwen 4B base 0.065 vs 0.240) and close for Llama (0.040 vs 0.060). Agreement is correspondingly poor for Qwen (κ ≈ 0.19–0.37) and high for Llama (κ ≈ 0.69–0.79).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 not refusal counting — is adopted as the primary HarmBench scorer.</w:t>
      </w:r>
    </w:p>
    <w:p>
      <w:pPr>
        <w:spacing w:after="160" w:line="300"/>
        <w:jc w:val="both"/>
      </w:pPr>
      <w:r>
        <w:rPr>
          <w:rFonts w:ascii="Calibri" w:cs="Calibri" w:eastAsia="Calibri" w:hAnsi="Calibri"/>
          <w:sz w:val="22"/>
          <w:szCs w:val="22"/>
        </w:rPr>
        <w:t xml:space="preserve">Result 2 — the choice of scorer changes the conclusion. Under the judge, the per-pair HarmBench ΔASR values are: Qwen 1.7B +0.055 (CI [+0.010, +0.100], significant); Qwen 4B +0.025 (CI [−0.000, +0.055], not significant); Llama 0.000 (CI [−0.020, +0.020], not significant). Compared with the v2 proxy (−0.025, +0.065, 0.000), the significant effect moves from Qwen 4B to Qwen 1.7B and flips the small-model direction from apparently-negative to significantly-positive. The interpretation labels follow: Qwen 1.7B moves from capability_collapse_masquerading_as_safety (proxy) to broad_degradation (judge: significant ΔASR up + significant ΔMMLU down); Qwen 4B remains alignment_degradation but only directionally (no longer significant); Llama remains broad_degradation. The judge validation is therefore not a rubber stamp — it corrected a refusal-counting artefact and relocated the study's one robust safety regression to the smallest model.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 the relocation is robust to the choice of significance test. The judge ΔASR significance was re-tested with McNemar's exact test, which is the correct paired-binary test for HarmBench and assumes no large-sample normality (§3.7). It reproduces the bootstrap conclusion exactly: Qwen 1.7B p = 0.027 (16 prompts became harmful vs 5 became safe), Qwen 4B p = 0.18 (7 vs 2), Llama p = 1.00 (2 vs 2). Only the smallest model's increase is significant under either test, so the study's single confirmed safety regression does not depend on the bootstrap machinery. A structural property of the judge–regex relationship reinforces the over-counting diagnosis: across all six models the judge labelled essentially no generation harmful that the regex had cleared (judge_harmful_v2_not ≈ 0), so the judge's harmful set is almost a strict subset of the regex's — the disagreement is one-directional over-counting by the regex, not two-sided noise.</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for HarmBench, run at full precision, with deterministic greedy decoding and zero parse failures on this dataset. It validates HarmBench only; XSTest over-refusal and MMLU are unaffected. A residual limitation is that no second independent judge (e.g. LlamaGuard or a frontier API classifier) was run to cross-check the HarmBench classifier itself; that is noted as future work (Chapter 9). The v2 regex is retained in the repository and in Table 6.1/6.2 as a transparent secondary proxy so that readers can see exactly how much, and where, refusal-based scoring diverges from genuine harmful-compliance scoring.</w:t>
      </w:r>
    </w:p>
    <w:p>
      <w:pPr>
        <w:pStyle w:val="Heading1"/>
        <w:pageBreakBefore/>
        <w:spacing w:after="200" w:before="360"/>
      </w:pPr>
      <w:r>
        <w:rPr>
          <w:rFonts w:ascii="Calibri" w:cs="Calibri" w:eastAsia="Calibri" w:hAnsi="Calibri"/>
          <w:b/>
          <w:bCs/>
          <w:sz w:val="32"/>
          <w:szCs w:val="32"/>
        </w:rPr>
        <w:t xml:space="preserve">Chapter 7 —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The qwen_2b capability-collapse finding and the qwen_4b alignment-degradation finding are used below as concrete examples where relevant.</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 the official HarmBench classifier — is run with greedy decoding (max_new_tokens = 1) in full precision, producing reproducible labels (job 61047 returned zero parse errors over 1 200 generations). The resume logic prevents partial-run contamination: every reported metric is computed from a complete raw.jsonl with exactly the configured number of prompts. All six target-model runs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three explicit design choices. First, findings are bounded to BitsAndBytes NF4 quantization. Alternative methods such as GPTQ, AWQ, and the GGUF family used by llama.cpp may produce different effects, both quantitatively and qualitatively; the present study does not claim to characterise those methods. Second, the Qwen3 baselines (Qwen3-1.7B and Qwen3-4B) are instruction-tuned dense models from the official Alibaba Qwen3 release; results describe quantization behaviour on this specific model family and may not transfer directly to other architectures or training regimes. Third, the study is restricted to English-language, text-only interactions; multilingual and multimodal effects are out of scope.</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adversarial prompts; other operationalisations exist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 most severely for the Qwen models —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it is adopted because it is the field-standard reference for HarmBench, but no second independent judge (for example LlamaGuard or a frontier-model classifier with a strict rubric) was run to cross-check it — this is the most direct remaining validity threat and is listed as future work (Chapter 9). Second, XSTest over-refusal is still scored by the regex parser, since the HarmBench classifier does not judge over-refusal; a refusal-style judge for XSTest is likewise future work.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just family identity. The cross-family component of the study therefore provides a useful robustness check on the within-Qwen findings but does not support causal claims about quantization–family interactions.</w:t>
      </w:r>
    </w:p>
    <w:p>
      <w:pPr>
        <w:pStyle w:val="Heading1"/>
        <w:pageBreakBefore/>
        <w:spacing w:after="200" w:before="360"/>
      </w:pPr>
      <w:r>
        <w:rPr>
          <w:rFonts w:ascii="Calibri" w:cs="Calibri" w:eastAsia="Calibri" w:hAnsi="Calibri"/>
          <w:b/>
          <w:bCs/>
          <w:sz w:val="32"/>
          <w:szCs w:val="32"/>
        </w:rPr>
        <w:t xml:space="preserve">Chapter 8 —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Single quantization method. Only BitsAndBytes NF4 four-bit quantization is evaluated. GPTQ, AWQ, GGUF, and INT8 paths are out of scope and are flagged for follow-up work.</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The six-subject MMLU subset is a tractable but partial measure of general capability and does not include code generation, long-context reasoning, or tool-use evaluation.</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For the Qwen 1.7B 4-bit model, 11 of 300 MMLU responses were truncated mid-reasoning without a final letter (answered rate 0.963 vs 0.983 for its baseline; the other five pairs answer 0.997–1.000). Part of that pair's MMLU drop (ΔMMLU = −0.087) therefore reflects degraded answer-format adherence under the token budget — a real capability effect, but one of format-following rather than purely of knowledge. The cleaner-answering pairs (Llama, Qwen 4B) are unaffected. A future run could raise the generation cap or add a constrained-decoding answer step to separate format-following from knowledge.</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Greedy decoding only (partially addressed). Temperature 0.0 is used throughout the primary study, eliminating within-condition stochastic variance from the main analysis. A multi-seed (T = 0.7, top-p 0.8) sensitivity arm for the load-bearing Qwen 1.7B pair (§6.6.1) now provides a partial estimate of this variance and shows the headline ΔASR attenuates under stochastic decoding and is not sign-consistent across seeds; the other two pairs remain greedy-only, so a full-matrix variance estimate is still outstanding.</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w:t>
      </w:r>
    </w:p>
    <w:p>
      <w:pPr>
        <w:pStyle w:val="ListParagraph"/>
        <w:numPr>
          <w:ilvl w:val="0"/>
          <w:numId w:val="6"/>
        </w:numPr>
        <w:spacing w:after="80" w:line="280"/>
      </w:pPr>
      <w:r>
        <w:rPr>
          <w:rFonts w:ascii="Calibri" w:cs="Calibri" w:eastAsia="Calibri" w:hAnsi="Calibri"/>
          <w:sz w:val="22"/>
          <w:szCs w:val="22"/>
        </w:rPr>
        <w:t xml:space="preserve">Stochastic-decoding sensitivity arm (partially completed). The load-bearing Qwen 1.7B pair has now been re-run at temperature 0.7 (top-p 0.8) across five seeds and scored by the official classifier (§6.6.1); the result tempered the headline (mean ΔASR +0.024 versus +0.055 greedy, not sign-consistent across seeds). Extending the same symmetric arm to the Qwen 4B and Llama pairs, and raising the seed count, would complete the within-condition variance estimate across the full matrix.</w:t>
      </w:r>
    </w:p>
    <w:p>
      <w:pPr>
        <w:pStyle w:val="ListParagraph"/>
        <w:numPr>
          <w:ilvl w:val="0"/>
          <w:numId w:val="6"/>
        </w:numPr>
        <w:spacing w:after="80" w:line="280"/>
      </w:pPr>
      <w:r>
        <w:rPr>
          <w:rFonts w:ascii="Calibri" w:cs="Calibri" w:eastAsia="Calibri" w:hAnsi="Calibri"/>
          <w:sz w:val="22"/>
          <w:szCs w:val="22"/>
        </w:rPr>
        <w:t xml:space="preserve">Expanded scale axis. Once primary results are in hand, extend the Qwen sweep to include a 0.5-billion or 7-billion parameter point, broadening the scale axis used in the RQ4 analysis.</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Judge-LLM sensitivity check. Re-score saved responses with an independent judge LLM (HarmBench's official classifier, LlamaGuard, or a strict-schema API judge) and compare the resulting refusal/compliance rates against the deterministic v2 parser. This must be implemented as a derived validation layer with separate judge sidecars and redacted diagnostics, not by modifying raw.jsonl, summary.json, scores.v2.jsonl, or summary.v2.json.</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three benchmark plugins, the pairwise analysis layer with rule-based interpretation labels and paired bootstrap 95% confidence intervals, full SLURM orchestration for the NTU TC1 cluster with resumable per-model matrix jobs, and a verification suite of 178 automated tests. The analytical contribution is the interpretation layer itself — the capability-anchored, statistically-grounded, multi-benchmark framework —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experimental runs completed on the NTU TC1 GPU cluster on 2026-05-27 (SLURM jobs 60976–60981); HarmBench ASR was validated and re-scored with the official HarmBench classifier (full precision) on 2026-06-06 (job 61047). Under the official classifier the three pairs produce three diagnostic profiles. The Qwen3-1.7B pair (broad_degradation): HarmBench ASR rises significantly (+0.055, CI [+0.010, +0.100]) and MMLU falls significantly (−0.087, CI [−0.137, −0.037]) — the smallest model degrades on both axes, the confirmed worst case and the most consequential deployment finding. The Qwen3-4B pair (alignment_degradation, directional): ΔASR is positive but not significant (+0.025, CI touches zero) with capability preserved — a suggestive, unconfirmed safety worsening. The Llama 3.2 3B pair (broad_degradation): ΔASR ≈ 0 (CI [−0.020, +0.020]) with significant capability loss (−0.043) — its strong baseline safety calibration (judge ASR = 0.040) is preserved at a capability cost. A central methodological result is that the judge validation overturned the regex proxy: the v2 scorer over-counts harmful compliance (it equates non-refusal with success), and adopting the benchmark's own classifier relocated the study's one significant safety regression from Qwen 4B (proxy) to Qwen 1.7B (official). Together the three pairs span distinct diagnostic categories, and none shows reduced harmful compliance under quantization.</w:t>
      </w:r>
    </w:p>
    <w:p>
      <w:pPr>
        <w:spacing w:after="160" w:line="300"/>
        <w:jc w:val="both"/>
      </w:pPr>
      <w:r>
        <w:rPr>
          <w:rFonts w:ascii="Calibri" w:cs="Calibri" w:eastAsia="Calibri" w:hAnsi="Calibri"/>
          <w:sz w:val="22"/>
          <w:szCs w:val="22"/>
        </w:rPr>
        <w:t xml:space="preserve">Taken together, the results answer all five research questions. Under the official HarmBench classifier, NF4 quantization never reduces genuine harmful compliance, and the one statistically significant move is an increase in the smallest model (RQ1): Qwen 1.7B ΔASR = +0.055 (CI excludes zero); Qwen 4B +0.025 and Llama 0.000 are within noise. The data refute the optimistic claim that quantization is safety-neutral or improving. NF4 quantization does not increase over-refusal in any evaluated model (RQ2) — a robust null. NF4 quantization significantly degrades capability in the Qwen 1.7B and Llama 3B models but not in the Qwen 4B model (RQ3). Smaller Qwen models are more sensitive on both axes: the 1.7B pair suffers a confirmed dual degradation (broad_degradation) while the 4B pair preserves capability and shows only a directional safety nudge (RQ4). Cross-family, all ΔASR point estimates are ≥ 0, over-refusal is uniformly null, and capability loss is directionally consistent where significant (RQ5). A central methodological result is that validating the framework against the benchmark's own classifier corrected a refusal-counting artefact in the regex proxy and relocated the one significant safety regression from Qwen 4B to Qwen 1.7B. The framework itself — capability-anchored, statistically grounded, multi-benchmark, and self-correcting under judge validation — is the durable contribution; the specific empirical numbers are subordinate to it.</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The following references are cited or contextually relevant. Final publication-grade formatting will be applied in the final FYP submission.</w:t>
      </w:r>
    </w:p>
    <w:p>
      <w:pPr>
        <w:pStyle w:val="ListParagraph"/>
        <w:numPr>
          <w:ilvl w:val="0"/>
          <w:numId w:val="7"/>
        </w:numPr>
        <w:spacing w:after="80" w:line="280"/>
      </w:pPr>
      <w:r>
        <w:rPr>
          <w:rFonts w:ascii="Calibri" w:cs="Calibri" w:eastAsia="Calibri" w:hAnsi="Calibri"/>
          <w:sz w:val="22"/>
          <w:szCs w:val="22"/>
        </w:rPr>
        <w:t xml:space="preserve">Sun, L., et al. TrustLLM: Trustworthiness in Large Language Models. arXiv:2401.05561, 2024.</w:t>
      </w:r>
    </w:p>
    <w:p>
      <w:pPr>
        <w:pStyle w:val="ListParagraph"/>
        <w:numPr>
          <w:ilvl w:val="0"/>
          <w:numId w:val="7"/>
        </w:numPr>
        <w:spacing w:after="80" w:line="280"/>
      </w:pPr>
      <w:r>
        <w:rPr>
          <w:rFonts w:ascii="Calibri" w:cs="Calibri" w:eastAsia="Calibri" w:hAnsi="Calibri"/>
          <w:sz w:val="22"/>
          <w:szCs w:val="22"/>
        </w:rPr>
        <w:t xml:space="preserve">Wang, B., et al. DecodingTrust: A Comprehensive Assessment of Trustworthiness in GPT Models. NeurIPS 2023 Datasets and Benchmarks Track.</w:t>
      </w:r>
    </w:p>
    <w:p>
      <w:pPr>
        <w:pStyle w:val="ListParagraph"/>
        <w:numPr>
          <w:ilvl w:val="0"/>
          <w:numId w:val="7"/>
        </w:numPr>
        <w:spacing w:after="80" w:line="280"/>
      </w:pPr>
      <w:r>
        <w:rPr>
          <w:rFonts w:ascii="Calibri" w:cs="Calibri" w:eastAsia="Calibri" w:hAnsi="Calibri"/>
          <w:sz w:val="22"/>
          <w:szCs w:val="22"/>
        </w:rPr>
        <w:t xml:space="preserve">Zhang, Z., et al. SafetyBench: Evaluating the Safety of Large Language Models. arXiv:2309.07045, 2023.</w:t>
      </w:r>
    </w:p>
    <w:p>
      <w:pPr>
        <w:pStyle w:val="ListParagraph"/>
        <w:numPr>
          <w:ilvl w:val="0"/>
          <w:numId w:val="7"/>
        </w:numPr>
        <w:spacing w:after="80" w:line="280"/>
      </w:pPr>
      <w:r>
        <w:rPr>
          <w:rFonts w:ascii="Calibri" w:cs="Calibri" w:eastAsia="Calibri" w:hAnsi="Calibri"/>
          <w:sz w:val="22"/>
          <w:szCs w:val="22"/>
        </w:rPr>
        <w:t xml:space="preserve">Mazeika, M., et al. HarmBench: A Standardized Evaluation Framework for Automated Red Teaming and Robust Refusal. arXiv:2402.04249, 2024.</w:t>
      </w:r>
    </w:p>
    <w:p>
      <w:pPr>
        <w:pStyle w:val="ListParagraph"/>
        <w:numPr>
          <w:ilvl w:val="0"/>
          <w:numId w:val="7"/>
        </w:numPr>
        <w:spacing w:after="80" w:line="280"/>
      </w:pPr>
      <w:r>
        <w:rPr>
          <w:rFonts w:ascii="Calibri" w:cs="Calibri" w:eastAsia="Calibri" w:hAnsi="Calibri"/>
          <w:sz w:val="22"/>
          <w:szCs w:val="22"/>
        </w:rPr>
        <w:t xml:space="preserve">Röttger, P., et al. XSTest: A Test Suite for Identifying Exaggerated Safety Behaviours in Large Language Models. arXiv:2308.01263, 2023.</w:t>
      </w:r>
    </w:p>
    <w:p>
      <w:pPr>
        <w:pStyle w:val="ListParagraph"/>
        <w:numPr>
          <w:ilvl w:val="0"/>
          <w:numId w:val="7"/>
        </w:numPr>
        <w:spacing w:after="80" w:line="280"/>
      </w:pPr>
      <w:r>
        <w:rPr>
          <w:rFonts w:ascii="Calibri" w:cs="Calibri" w:eastAsia="Calibri" w:hAnsi="Calibri"/>
          <w:sz w:val="22"/>
          <w:szCs w:val="22"/>
        </w:rPr>
        <w:t xml:space="preserve">Hendrycks, D., et al. Measuring Massive Multitask Language Understanding. ICLR 2021. (MMLU)</w:t>
      </w:r>
    </w:p>
    <w:p>
      <w:pPr>
        <w:pStyle w:val="ListParagraph"/>
        <w:numPr>
          <w:ilvl w:val="0"/>
          <w:numId w:val="7"/>
        </w:numPr>
        <w:spacing w:after="80" w:line="280"/>
      </w:pPr>
      <w:r>
        <w:rPr>
          <w:rFonts w:ascii="Calibri" w:cs="Calibri" w:eastAsia="Calibri" w:hAnsi="Calibri"/>
          <w:sz w:val="22"/>
          <w:szCs w:val="22"/>
        </w:rPr>
        <w:t xml:space="preserve">Dettmers, T., Pagnoni, A., Holtzman, A., Zettlemoyer, L. QLoRA: Efficient Finetuning of Quantized LLMs. NeurIPS 2023. (Introduces NF4 quantization and the bitsandbytes integration.)</w:t>
      </w:r>
    </w:p>
    <w:p>
      <w:pPr>
        <w:pStyle w:val="ListParagraph"/>
        <w:numPr>
          <w:ilvl w:val="0"/>
          <w:numId w:val="7"/>
        </w:numPr>
        <w:spacing w:after="80" w:line="280"/>
      </w:pPr>
      <w:r>
        <w:rPr>
          <w:rFonts w:ascii="Calibri" w:cs="Calibri" w:eastAsia="Calibri" w:hAnsi="Calibri"/>
          <w:sz w:val="22"/>
          <w:szCs w:val="22"/>
        </w:rPr>
        <w:t xml:space="preserve">Qwen Team. Qwen Technical Report Series (Qwen 2.5 / Qwen 3.x). Alibaba DAMO Academy, 2024–2025.</w:t>
      </w:r>
    </w:p>
    <w:p>
      <w:pPr>
        <w:pStyle w:val="ListParagraph"/>
        <w:numPr>
          <w:ilvl w:val="0"/>
          <w:numId w:val="7"/>
        </w:numPr>
        <w:spacing w:after="80" w:line="280"/>
      </w:pPr>
      <w:r>
        <w:rPr>
          <w:rFonts w:ascii="Calibri" w:cs="Calibri" w:eastAsia="Calibri" w:hAnsi="Calibri"/>
          <w:sz w:val="22"/>
          <w:szCs w:val="22"/>
        </w:rPr>
        <w:t xml:space="preserve">Meta AI. Llama 3.2 Model Family. Technical Report, 2024.</w:t>
      </w:r>
    </w:p>
    <w:p>
      <w:pPr>
        <w:pStyle w:val="ListParagraph"/>
        <w:numPr>
          <w:ilvl w:val="0"/>
          <w:numId w:val="7"/>
        </w:numPr>
        <w:spacing w:after="80" w:line="280"/>
      </w:pPr>
      <w:r>
        <w:rPr>
          <w:rFonts w:ascii="Calibri" w:cs="Calibri" w:eastAsia="Calibri" w:hAnsi="Calibri"/>
          <w:sz w:val="22"/>
          <w:szCs w:val="22"/>
        </w:rPr>
        <w:t xml:space="preserve">Liu, S., et al. Behavioural Effects of Quantization on Instruction-Tuned Models. arXiv:2402.16775, 2024. (placeholder)</w:t>
      </w:r>
    </w:p>
    <w:p>
      <w:pPr>
        <w:pStyle w:val="ListParagraph"/>
        <w:numPr>
          <w:ilvl w:val="0"/>
          <w:numId w:val="7"/>
        </w:numPr>
        <w:spacing w:after="80" w:line="280"/>
      </w:pPr>
      <w:r>
        <w:rPr>
          <w:rFonts w:ascii="Calibri" w:cs="Calibri" w:eastAsia="Calibri" w:hAnsi="Calibri"/>
          <w:sz w:val="22"/>
          <w:szCs w:val="22"/>
        </w:rPr>
        <w:t xml:space="preserve">Anonymous Authors. A Comprehensive Evaluation of Quantization Strategies for Large Language Models (1B–405B). arXiv:2409.11055, 2024. (placeholder)</w:t>
      </w:r>
    </w:p>
    <w:p>
      <w:pPr>
        <w:pStyle w:val="ListParagraph"/>
        <w:numPr>
          <w:ilvl w:val="0"/>
          <w:numId w:val="7"/>
        </w:numPr>
        <w:spacing w:after="80" w:line="280"/>
      </w:pPr>
      <w:r>
        <w:rPr>
          <w:rFonts w:ascii="Calibri" w:cs="Calibri" w:eastAsia="Calibri" w:hAnsi="Calibri"/>
          <w:sz w:val="22"/>
          <w:szCs w:val="22"/>
        </w:rPr>
        <w:t xml:space="preserve">Anonymous Authors. Safety and Trustworthiness Effects of Post-Training Quantization. arXiv:2502.15799, 2025. (placeholder)</w:t>
      </w:r>
    </w:p>
    <w:p>
      <w:pPr>
        <w:pStyle w:val="ListParagraph"/>
        <w:numPr>
          <w:ilvl w:val="0"/>
          <w:numId w:val="7"/>
        </w:numPr>
        <w:spacing w:after="80" w:line="280"/>
      </w:pPr>
      <w:r>
        <w:rPr>
          <w:rFonts w:ascii="Calibri" w:cs="Calibri" w:eastAsia="Calibri" w:hAnsi="Calibri"/>
          <w:sz w:val="22"/>
          <w:szCs w:val="22"/>
        </w:rPr>
        <w:t xml:space="preserve">Anonymous Authors. Safety-Preserving Quantization for Aligned LLMs. arXiv:2511.07842, 2025. (placeholder)</w:t>
      </w:r>
    </w:p>
    <w:p>
      <w:pPr>
        <w:pStyle w:val="Heading1"/>
        <w:pageBreakBefore/>
        <w:spacing w:after="200" w:before="360"/>
      </w:pPr>
      <w:r>
        <w:rPr>
          <w:rFonts w:ascii="Calibri" w:cs="Calibri" w:eastAsia="Calibri" w:hAnsi="Calibri"/>
          <w:b/>
          <w:bCs/>
          <w:sz w:val="32"/>
          <w:szCs w:val="32"/>
        </w:rPr>
        <w:t xml:space="preserve">Appendix A — Final TC1 Configuration</w:t>
      </w:r>
    </w:p>
    <w:p>
      <w:pPr>
        <w:spacing w:after="160" w:line="300"/>
        <w:jc w:val="both"/>
      </w:pPr>
      <w:r>
        <w:rPr>
          <w:rFonts w:ascii="Calibri" w:cs="Calibri" w:eastAsia="Calibri" w:hAnsi="Calibri"/>
          <w:sz w:val="22"/>
          <w:szCs w:val="22"/>
        </w:rPr>
        <w:t xml:space="preserve">The full configs/tc1.yaml is reproduced below for reference.</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128</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 Test Inventory</w:t>
      </w:r>
    </w:p>
    <w:p>
      <w:pPr>
        <w:spacing w:after="160" w:line="300"/>
        <w:jc w:val="both"/>
      </w:pPr>
      <w:r>
        <w:rPr>
          <w:rFonts w:ascii="Calibri" w:cs="Calibri" w:eastAsia="Calibri" w:hAnsi="Calibri"/>
          <w:sz w:val="22"/>
          <w:szCs w:val="22"/>
        </w:rPr>
        <w:t xml:space="preserve">The verification suite comprises 178 automated tests across twelve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byte-for-byte regression check, and judge-precision resolution (fp16/8bit/4bit + VRAM estimates).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bootstrap CI logic, and v2 score-sidecar selection.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26 canonical refusal templates, 6 negative controls, curly-apostrophe handling, and the diagnostic match_refusal_pattern helper.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(other small fixtures)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Conftest fixtures, shared mocks.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(178 tests across 12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FYP_Report_2026-05-27.docx   (this document)</w:t>
      </w:r>
    </w:p>
    <w:p>
      <w:pPr>
        <w:pStyle w:val="Heading1"/>
        <w:pageBreakBefore/>
        <w:spacing w:after="200" w:before="360"/>
      </w:pPr>
      <w:r>
        <w:rPr>
          <w:rFonts w:ascii="Calibri" w:cs="Calibri" w:eastAsia="Calibri" w:hAnsi="Calibri"/>
          <w:b/>
          <w:bCs/>
          <w:sz w:val="32"/>
          <w:szCs w:val="32"/>
        </w:rPr>
        <w:t xml:space="preserve">Appendix F —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 refactors, tests, dev tooling —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 repo-native next-session handoff at docs/HANDOFF.md so Codex, Claude Code, and future agents can recover from the same file instead of relying on pasted chat context. Appendix H §H.5 now points future work to that shared handoff and removes the stale post-push D16 instruction, because D16 is already on origin/main.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§H.2–§H.5 to the post-judge state (the v2 Qwen 4B figure flagged as superseded; judge sidecars are the committed primary scorer; next steps are push/T1/T3/T15 plus an optional second judge, not a pending judge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[RESULTS PENDING TC1 RUN] placeholder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as a fresh-session handoff after the v2 scorer incident. The appendix documents the v1 failure mode, the v2 parser correction, the later immutable-sidecar correction, the verification evidence, and the next-step contract for judge-model validation. Updated cover revision text and Future Work wording to make clear that LlamaGuard/API judge scoring is a derived validation layer rather than a replacement for v2 or a mutation of raw outputs. Documented that any local incomplete judge skeleton should not be committed until T20 is implemented end-to-end.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 Scorer Incident and Future-Session Handoff</w:t>
      </w:r>
    </w:p>
    <w:p>
      <w:pPr>
        <w:spacing w:after="160" w:line="300"/>
        <w:jc w:val="both"/>
      </w:pPr>
      <w:r>
        <w:rPr>
          <w:rFonts w:ascii="Calibri" w:cs="Calibri" w:eastAsia="Calibri" w:hAnsi="Calibri"/>
          <w:sz w:val="22"/>
          <w:szCs w:val="22"/>
        </w:rPr>
        <w:t xml:space="preserve">This appendix is included so that a future agent or fresh chat session can continue the work without relying on conversation memory. It records the critical scorer incident, the corrected artifact contract, and the next safe continuation point. The authoritative operational source remains `docs/PROJECT_LOG.md`; this appendix mirrors the same information in the Word deliverable.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decisive correction followed: the official HarmBench classifier (judge; decision D16, §6.12) was promoted to the primary HarmBench scorer. Under the judge, the v2 regex is shown to over-count ASR, and the study's one statistically significant ΔASR is Qwen 1.7B at +0.055 (CI [+0.010, +0.100]) — not Qwen 4B, whose judge ΔASR (+0.025) is directional only. The honest final reading is therefore Qwen 1.7B broad_degradation (significant safety worsening plus significant capability loss); the v2 Qwen 4B figure quoted above is the superseded regex-proxy value.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Codex audit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Rule for future work</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job 61047</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178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 (61047) ran in full precision on a 32 GB V100 and classified all 1 200 generations with zero parse errors.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 no prompt, behaviour, or response text.</w:t>
      </w:r>
    </w:p>
    <w:p>
      <w:pPr>
        <w:pStyle w:val="Heading2"/>
        <w:spacing w:after="140" w:before="280"/>
      </w:pPr>
      <w:r>
        <w:rPr>
          <w:rFonts w:ascii="Calibri" w:cs="Calibri" w:eastAsia="Calibri" w:hAnsi="Calibri"/>
          <w:b/>
          <w:bCs/>
          <w:sz w:val="26"/>
          <w:szCs w:val="26"/>
        </w:rPr>
        <w:t xml:space="preserve">H.5 Where the next session should continue</w:t>
      </w:r>
    </w:p>
    <w:p>
      <w:pPr>
        <w:spacing w:after="160" w:line="300"/>
        <w:jc w:val="both"/>
      </w:pPr>
      <w:r>
        <w:rPr>
          <w:rFonts w:ascii="Calibri" w:cs="Calibri" w:eastAsia="Calibri" w:hAnsi="Calibri"/>
          <w:sz w:val="22"/>
          <w:szCs w:val="22"/>
        </w:rPr>
        <w:t xml:space="preserve">The HarmBench judge validation is complete (job 61047) and the official classifier is the primary HarmBench scorer (decision D16); §6.12 carries the results. There is no pending scoring work. Future agents should start from the repo-native handoff in `docs/HANDOFF.md`, then verify live Git state with `git status -sb`. The remaining non-technical items are: send the supervisor progress note (T1); record the exact storage quota via `MyTCinfo` (T3, hardware already confirmed as a 32 GB Tesla V100); and prepare the final submission (T15).</w:t>
      </w:r>
    </w:p>
    <w:p>
      <w:pPr>
        <w:spacing w:after="160" w:line="300"/>
        <w:jc w:val="both"/>
      </w:pPr>
      <w:r>
        <w:rPr>
          <w:rFonts w:ascii="Calibri" w:cs="Calibri" w:eastAsia="Calibri" w:hAnsi="Calibri"/>
          <w:sz w:val="22"/>
          <w:szCs w:val="22"/>
        </w:rPr>
        <w:t xml:space="preserve">The most valuable optional extension is a second independent judge — for example LlamaGuard or a frontier-model classifier with a strict yes/no rubric — to cross-check the HarmBench classifier itself; this is the one remaining construct-validity threat on the HarmBench metric (§7.4) and is listed in Chapter 9. The infrastructure already supports it: add a backend in `ethical_benchmark/judges/validation.py`, run it through `scripts/run_judge_validation.py` into `scores.judge.&lt;name&gt;.*` sidecars, and compare via `scripts/judge_agreement.py`. On TC1: `git pull --ff-only`, cache any new judge weights with `prefetch_tc1.py --judge --judge-model-id &lt;id&gt;`, then `sbatch` — never run judge Python on the head node, and never print or commit raw prompts/responses outside the existing immutable raw files. The Llama-2-family judge tokenizer requires `sentencepiece`, `protobuf`, and `tiktoken` (now pinned in requirements.txt).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 Benchmarking Ethical Performance of Open-Source LLMs (CCDS25-1136)</dc:title>
  <dc:creator>TAN UEI HORNG</dc:creator>
  <cp:lastModifiedBy>Un-named</cp:lastModifiedBy>
  <cp:revision>1</cp:revision>
  <dcterms:created xsi:type="dcterms:W3CDTF">2026-06-14T04:47:10.981Z</dcterms:created>
  <dcterms:modified xsi:type="dcterms:W3CDTF">2026-06-14T04:47:10.982Z</dcterms:modified>
</cp:coreProperties>
</file>

<file path=docProps/custom.xml><?xml version="1.0" encoding="utf-8"?>
<Properties xmlns="http://schemas.openxmlformats.org/officeDocument/2006/custom-properties" xmlns:vt="http://schemas.openxmlformats.org/officeDocument/2006/docPropsVTypes"/>
</file>