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That Phi-4-mini decrease is regex-scored and scorer-dependent: an independent three-way refusal judge does not reproduce it (§6.7).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w:t>
      </w:r>
    </w:p>
    <w:p>
      <w:pPr>
        <w:spacing w:after="160" w:line="276"/>
        <w:jc w:val="both"/>
      </w:pPr>
      <w:r>
        <w:rPr>
          <w:rFonts w:ascii="Times New Roman" w:cs="Times New Roman" w:eastAsia="Times New Roman" w:hAnsi="Times New Roman"/>
          <w:sz w:val="24"/>
          <w:szCs w:val="24"/>
        </w:rPr>
        <w:t xml:space="preserve">A refusal-judge sensitivity check bears directly on that one survivor. An independent three-way refusal judge (GPT-4o, XSTest's own full-compliance / partial-refusal / full-refusal labelling) re-scored all 3,750 saved benign responses (no parse failures), with the regex kept as the primary scorer and the twenty-contrast BH-FDR family unchanged, and it does not reproduce the −0.048 decrease: scoring full refusals only, Phi-4-mini's judge ΔOR is +0.016 (CI [−0.028, +0.060], McNemar p = 0.597), the opposite direction, and counting partial or full refusals it is −0.004 (CI [−0.048, +0.036], p = 1.000). The two scorers disagree substantially, the judge flags about four times more refusals (mean over-refusal 0.171 against the regex's 0.044) and per-alias Cohen's κ runs from −0.01 to 0.50, and no pair shows a significant judge ΔOR, which agrees with the RQ2 null but with a direction and magnitude that differ from the regex, most sharply for this survivor. The one over-refusal survivor is therefore scorer-dependent; a human-labelled refusal gold set remains the residual strengthening (results_512/analysis/xstest_judge_agreement.json).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matched-pair loading, a benchmark-plugin contract, a judge-validation layer, SLURM orchestration, 382 automated tests, and a machine claim lock that verifies every reported number against the committed artefacts, is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2026-07-15T09:08:45.605Z</dcterms:created>
  <dcterms:modified xsi:type="dcterms:W3CDTF">2026-07-15T09:08:45.606Z</dcterms:modified>
</cp:coreProperties>
</file>

<file path=docProps/custom.xml><?xml version="1.0" encoding="utf-8"?>
<Properties xmlns="http://schemas.openxmlformats.org/officeDocument/2006/custom-properties" xmlns:vt="http://schemas.openxmlformats.org/officeDocument/2006/docPropsVTypes"/>
</file>