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itself scorer-dependent, since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6.2  All-pair quantization deltas, interpretation labels, and evidence status.</w:t>
      </w:r>
    </w:p>
    <w:p>
      <w:pPr>
        <w:spacing w:after="60" w:line="360"/>
      </w:pPr>
      <w:r>
        <w:rPr>
          <w:rFonts w:ascii="Times New Roman" w:cs="Times New Roman" w:eastAsia="Times New Roman" w:hAnsi="Times New Roman"/>
          <w:sz w:val="22"/>
          <w:szCs w:val="22"/>
        </w:rPr>
        <w:t xml:space="preserve">Table 6.3  Judge vs v2 per-model agreement on HarmBench (n = 200 each).</w:t>
      </w:r>
    </w:p>
    <w:p>
      <w:pPr>
        <w:spacing w:after="60" w:line="360"/>
      </w:pPr>
      <w:r>
        <w:rPr>
          <w:rFonts w:ascii="Times New Roman" w:cs="Times New Roman" w:eastAsia="Times New Roman" w:hAnsi="Times New Roman"/>
          <w:sz w:val="22"/>
          <w:szCs w:val="22"/>
        </w:rPr>
        <w:t xml:space="preserve">Table 6.4  Exploratory per-pair XSTest over-refusal deltas under the independent three-class refusal judge.</w:t>
      </w:r>
    </w:p>
    <w:p>
      <w:pPr>
        <w:spacing w:after="60" w:line="360"/>
      </w:pPr>
      <w:r>
        <w:rPr>
          <w:rFonts w:ascii="Times New Roman" w:cs="Times New Roman" w:eastAsia="Times New Roman" w:hAnsi="Times New Roman"/>
          <w:sz w:val="22"/>
          <w:szCs w:val="22"/>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typically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(approximately 8,900 lines of production Python and 4,600 lines of automated tests; 382 tests across twenty-nine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a standard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By construction this isolates the quantization step from checkpoint-provenance confounds — separate fine-tuning, conversion artifacts, or a re-uploaded checkpoint — so any observed delta is best attributed to quantization or to measurement noise rather than to a different underlying model. This is the strongest practical isolation available under the recorded matched-pair configuration; the exact runtime environment is a separate, documented reproducibility caveat (Chapter 8), not a confound this design removes.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10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 verification suite of 382 automated tests across twenty-nine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382 tests pass on the current commit.</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(local/dev convenience; --dry_run prints planned submissions). Not used on TC1, where head-node Python is disallowed — TC1 jobs are submitted with direct sbatch (§5, TC1 runbook).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382 tests passing)</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10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under the primary lenient parser — the largest single capability contrast observed in this study (a two-pair, within-Qwen, MMLU-anchored comparison). This 30:1 ratio is a lenient-parser figure: on ARC under the same parser the 4B pair loses marginally more than the 1.7B (−1.6 pp vs −0.9 pp), which at first suggests the scale gap is MMLU-specific —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under the primary lenient parser. This apparent ARC-robustness is largely a parser artefact, not benchmark-wide preserved capability: both benchmarks suffer the same 4-bit answer-format collapse for this pair (the lenient fallback fires on 48.7% of its MMLU items and 52.3% of its ARC items, versus ~3% at fp16; §6.5), but the fallback salvages the format-broken ARC answers more accurately (66%, well above the 25% chance floor, so answer-knowledge on ARC is substantially preserved) than the MMLU ones (46%), and that difference is what masks the ARC loss. A strict parser that scores an unparsable answer incorrect measures format-compliant answering rather than answer-knowledge alone; under it ARC falls −0.343 and MMLU −0.293 (both significant), comparable large losses. The lenient reading is therefore not evidence that the 1.7B degradation is genuinely MMLU-specific (the answer-format truncation that partly explained the MMLU figure at 128 tokens is separately resolved at 512 — Chapter 8); each benchmark's loss is best read as a bracket whose lenient end tracks answer-knowledge (largely preserved) and whose strict end tracks format-compliant answering (which collapses on both benchmarks).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when ARC is scored by the primary lenient parser (which finds the 4B losing marginally more than the 1.7B) — but under a strict parser it does replicate and then some, the 1.7B pair losing −0.343 on ARC against the 4B pair's −0.017, because the lenient parser was masking the 1.7B ARC collapse (above); the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 52.3% of the 4-bit member’s ARC items fall to the lenient fallback versus 2.5% for its fp16 twin —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 comparable large losses on both benchmarks. All four capability point estimates for this pair are negative — three of them individually significant, with ARC under the lenient parser (−0.009) within noise of zero —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 0.50),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whereas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in this revision's committed artifact; the same arm has since been extended to them and will be folded into a subsequent revision after verification.</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the one over-refusal survivor being scorer-dependent,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all ten NF4 aliases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plausibly inflates the measured disagreement, so the observed κ is best read as conservative — though the direction is not strictly identified, since a harmful-looking prefix followed by a benign completion cuts the other way.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and are not population estimates; the direction in which a representative population would move them is not identified by this design (the enriched slice changes both the item difficulty and the marginal prevalence κ depends on). The reported pair should therefore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(Llama Guard [25]) is the natural complementary cross-check; that guard has since been run, and its verification and fold-in are pending, so this revision carries the two-judge and human-grounded validation only.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NF4 aliases).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56"/>
        <w:gridCol w:w="2256"/>
        <w:gridCol w:w="2256"/>
        <w:gridCol w:w="2258"/>
      </w:tblGrid>
      <w:tr>
        <w:trPr>
          <w:tblHeader/>
        </w:trPr>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258"/>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experimental variable against model-provenance confounds. The design leaves few plausible alternative explanations for an observed delta beyond the quantization step itself, the act of loading the same checkpoint twice, or measurement noise — with the important qualification, established in §6.5 and §6.12, that the choice of harm scorer, over-refusal scorer, and answer-parser is itself a measurement variable that moves the observed deltas, so "few alternatives" refers to model-provenance confounds, not to scoring choices.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ensures every reported metric is computed from a complete raw.jsonl with exactly the configured number of prompts; on resume it keys on prompt IDs, and every row carries per-record provenance (seed, model_id, generation_config) for audit.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(LlamaGuard) is the natural complementary cross-check; that guard has since been run, with verification and fold-in pending, so this revision carries the two-judge and human-grounded validation only.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the 4-bit member's ARC items fall to the lenient fallback versus 2.5% at fp16), so its near-zero primary delta (−0.009) reflects the lenient parser salvaging format-broken answers, not immunity; under a strict parser ARC and MMLU fall comparably (−0.343 and −0.293, both significant). ARC therefore corroborates the direction of the loss under both parsers but not its lenient-parser smallness — each benchmark's magnitude is best read as a bracket between the lenient and strict parsers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The same symmetric arm has since been extended to the two remaining pairs (Mistral, Phi); those results are being verified and will be folded into a subsequent revision, so this revision reports the three verified pairs.</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 refusal-style judge for XSTest over-refusal has now been run as a sensitivity layer (§6.12, Result 6; gpt-4o, three-class taxonomy, 3,750 responses, zero parse failures), finding the one multiplicity-robust over-refusal contrast to be scorer-dependent —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382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Test Inventory</w:t>
      </w:r>
    </w:p>
    <w:p>
      <w:pPr>
        <w:spacing w:after="160" w:line="360"/>
        <w:jc w:val="both"/>
      </w:pPr>
      <w:r>
        <w:rPr>
          <w:rFonts w:ascii="Times New Roman" w:cs="Times New Roman" w:eastAsia="Times New Roman" w:hAnsi="Times New Roman"/>
          <w:sz w:val="22"/>
          <w:szCs w:val="22"/>
        </w:rPr>
        <w:t xml:space="preserve">The verification suite comprises 382 automated tests across twenty-nine test files. The distribution is summarised in Table D.1; the test files are located under tests/ in the repository.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Multi-seed sensitivity config + aggregator (summarise_deltas) and sbatch generator, plus the v2-proxy reader preferring summary.v2.json over the v1 runtime summary.json (with fallback), and the per-pair alias-ordering guard (aliases match PAIRS[pid] = (base, 4bit)).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test_xstest_judge.py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3-class refusal-judge sensitivity layer (T35/D45): label-parser variants and misparse resistance, the byte-pinned rubric regression, the API backend label mapping and prompt/response slot routing (faked client), and sidecar redaction.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test_xstest_human_audit.py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human-label gold-set tool (T36/D46): deterministic stratified draw, disagreement-fraction and exclusions, double-weighted priority pairs, Cohen's kappa (incl. degenerate), precision/recall/F1 and confusion counts, outcome-letter read-off, and the frozen-rubric guard (HTML and source scanned for retired wording).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test_parser_strict.py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Strict MMLU/ARC parser and rescore (T38): strict tier behaviour, the strict regexes as a literal restriction of the primary cascade, num-choices inference, raw-immutability + redacted sidecar emission, and dry-run-writes-nothing.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382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Twenty-nine files; all passing on the current commit.</w:t>
            </w:r>
          </w:p>
        </w:tc>
      </w:tr>
    </w:tbl>
    <w:p>
      <w:pPr>
        <w:spacing w:after="120" w:line="360"/>
      </w:pPr>
      <w:r>
        <w:rPr>
          <w:rFonts w:ascii="Times New Roman" w:cs="Times New Roman" w:eastAsia="Times New Roman" w:hAnsi="Times New Roman"/>
          <w:sz w:val="18"/>
          <w:szCs w:val="18"/>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(382 tests across 29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Submission-safety patch (verified external-audit remediation, pulled ahead of the deferred T36/T37/T39 evidence fold-in). Corrected a factual error: ARC-Challenge was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so ARC's near-zero primary delta (−0.009) is the lenient parser salvaging format-broken answers, not immunity — under a strict parser ARC −0.343 and MMLU −0.293 fall comparably. Capability loss reframed as a lenient/strict bracket (direction parser-robust, magnitude parser-dependent); answer-format parsing added as a third measurement-dependence axis alongside the harm and over-refusal scorers. Statistical/interpretation register tightened per the audit: κ human-validation stated as conservative rather than a proven lower bound and as a disagreement-enriched, non-population estimate (§6.12); causal language scoped to "isolates quantization against model-provenance confounds" rather than "only variable / no plausible alternative explanation" (Abstract, §3, Ch7); scale/novelty claims narrowed ("almost always"→typically; "single largest predictor"→largest observed within-family contrast). T37 (LlamaGuard) and T39 (Mistral/Phi multi-seed) reworded from future-work to executed-with-verification-pending (no numbers folded in yet). Numeric fixes: Qwen3-1.7B XSTest has 10 discordant prompts, not 11 (b=2,c=8; p=0.109 unchanged); Llama baseline over-refusal 0.032 (v2 scorer of record, not the retired 0.036); test inventory 382 across 29 files (was 339/26), Appendix D refreshed; "classifier- and human-anchored" corrected to exact-match for the capability survivors. List of Tables now lists Tables 6.2–6.4. No committed or primary result number changed; the only added numbers are the committed strict-parser sensitivity figures.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2026-07-12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with 382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2026-07-15T09:08:43.570Z</dcterms:created>
  <dcterms:modified xsi:type="dcterms:W3CDTF">2026-07-15T09:08:43.574Z</dcterms:modified>
</cp:coreProperties>
</file>

<file path=docProps/custom.xml><?xml version="1.0" encoding="utf-8"?>
<Properties xmlns="http://schemas.openxmlformats.org/officeDocument/2006/custom-properties" xmlns:vt="http://schemas.openxmlformats.org/officeDocument/2006/docPropsVTypes"/>
</file>