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480"/>
        <w:jc w:val="center"/>
      </w:pPr>
      <w:r>
        <w:rPr>
          <w:rFonts w:ascii="Times New Roman" w:cs="Times New Roman" w:eastAsia="Times New Roman" w:hAnsi="Times New Roman"/>
          <w:b/>
          <w:bCs/>
          <w:sz w:val="24"/>
          <w:szCs w:val="24"/>
        </w:rPr>
        <w:t xml:space="preserve">FINAL YEAR PROJECT: THESIS</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2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382 automated tests</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4"/>
          <w:szCs w:val="24"/>
        </w:rPr>
        <w:t xml:space="preserve">I hereby declare that this Final Year Project thesis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thesis (its research design, experimental methodology, analysis, and interpretation)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4"/>
          <w:szCs w:val="24"/>
        </w:rPr>
        <w:t xml:space="preserve">All experimental results reported in this thesis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360"/>
        <w:jc w:val="left"/>
      </w:pPr>
      <w:r>
        <w:rPr>
          <w:rFonts w:ascii="Times New Roman" w:cs="Times New Roman" w:eastAsia="Times New Roman" w:hAnsi="Times New Roman"/>
          <w:sz w:val="24"/>
          <w:szCs w:val="24"/>
        </w:rPr>
        <w:t xml:space="preserve">Tan Uei Horng  (UTAN001)</w:t>
      </w:r>
    </w:p>
    <w:p>
      <w:pPr>
        <w:spacing w:after="30" w:line="360"/>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360"/>
        <w:jc w:val="left"/>
      </w:pPr>
      <w:r>
        <w:rPr>
          <w:rFonts w:ascii="Times New Roman" w:cs="Times New Roman" w:eastAsia="Times New Roman" w:hAnsi="Times New Roman"/>
          <w:sz w:val="24"/>
          <w:szCs w:val="24"/>
        </w:rPr>
        <w:t xml:space="preserve">Date:  2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thesis asks whether the safety changes attributed to quantization are genuine alignment shifts or artefacts of capability loss, invalid scoring, or truncated generation.</w:t>
      </w:r>
    </w:p>
    <w:p>
      <w:pPr>
        <w:spacing w:after="160" w:line="360"/>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360"/>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 the latter itself scorer-dependent, as an independent three-class refusal judge does not reproduce it.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360"/>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360"/>
        <w:jc w:val="left"/>
      </w:pPr>
      <w:r>
        <w:rPr>
          <w:rFonts w:ascii="Times New Roman" w:cs="Times New Roman" w:eastAsia="Times New Roman" w:hAnsi="Times New Roman"/>
          <w:sz w:val="24"/>
          <w:szCs w:val="24"/>
        </w:rPr>
        <w:t xml:space="preserve">Table 3.1  Model pairs, families, and parameter scales.</w:t>
      </w:r>
    </w:p>
    <w:p>
      <w:pPr>
        <w:spacing w:after="60" w:line="360"/>
        <w:jc w:val="left"/>
      </w:pPr>
      <w:r>
        <w:rPr>
          <w:rFonts w:ascii="Times New Roman" w:cs="Times New Roman" w:eastAsia="Times New Roman" w:hAnsi="Times New Roman"/>
          <w:sz w:val="24"/>
          <w:szCs w:val="24"/>
        </w:rPr>
        <w:t xml:space="preserve">Table 3.2  Benchmarks, primary metrics, and sample budgets.</w:t>
      </w:r>
    </w:p>
    <w:p>
      <w:pPr>
        <w:spacing w:after="60" w:line="360"/>
        <w:jc w:val="left"/>
      </w:pPr>
      <w:r>
        <w:rPr>
          <w:rFonts w:ascii="Times New Roman" w:cs="Times New Roman" w:eastAsia="Times New Roman" w:hAnsi="Times New Roman"/>
          <w:sz w:val="24"/>
          <w:szCs w:val="24"/>
        </w:rPr>
        <w:t xml:space="preserve">Table 3.3  Interpretation labels derived from combined deltas.</w:t>
      </w:r>
    </w:p>
    <w:p>
      <w:pPr>
        <w:spacing w:after="60" w:line="360"/>
        <w:jc w:val="left"/>
      </w:pPr>
      <w:r>
        <w:rPr>
          <w:rFonts w:ascii="Times New Roman" w:cs="Times New Roman" w:eastAsia="Times New Roman" w:hAnsi="Times New Roman"/>
          <w:sz w:val="24"/>
          <w:szCs w:val="24"/>
        </w:rPr>
        <w:t xml:space="preserve">Table 5.1  Experimental configuration summary.</w:t>
      </w:r>
    </w:p>
    <w:p>
      <w:pPr>
        <w:spacing w:after="60" w:line="360"/>
        <w:jc w:val="left"/>
      </w:pPr>
      <w:r>
        <w:rPr>
          <w:rFonts w:ascii="Times New Roman" w:cs="Times New Roman" w:eastAsia="Times New Roman" w:hAnsi="Times New Roman"/>
          <w:sz w:val="24"/>
          <w:szCs w:val="24"/>
        </w:rPr>
        <w:t xml:space="preserve">Table 6.1  Judge-versus-regex agreement (Cohen’s κ) by model family.</w:t>
      </w:r>
    </w:p>
    <w:p>
      <w:pPr>
        <w:spacing w:after="60" w:line="360"/>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360"/>
        <w:jc w:val="left"/>
      </w:pPr>
      <w:r>
        <w:rPr>
          <w:rFonts w:ascii="Times New Roman" w:cs="Times New Roman" w:eastAsia="Times New Roman" w:hAnsi="Times New Roman"/>
          <w:sz w:val="24"/>
          <w:szCs w:val="24"/>
        </w:rPr>
        <w:t xml:space="preserve">Table 6.3  Precision sweep: HarmBench ASR at fp16 / INT8 / NF4 (judge).</w:t>
      </w:r>
    </w:p>
    <w:p>
      <w:pPr>
        <w:spacing w:after="60" w:line="360"/>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360"/>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360"/>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360"/>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360"/>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360"/>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360"/>
        <w:jc w:val="both"/>
      </w:pPr>
      <w:r>
        <w:rPr>
          <w:rFonts w:ascii="Times New Roman" w:cs="Times New Roman" w:eastAsia="Times New Roman" w:hAnsi="Times New Roman"/>
          <w:sz w:val="24"/>
          <w:szCs w:val="24"/>
        </w:rPr>
        <w:t xml:space="preserve">This thesis is organised around five research questions:</w:t>
      </w:r>
    </w:p>
    <w:p>
      <w:pPr>
        <w:pStyle w:val="ListParagraph"/>
        <w:numPr>
          <w:ilvl w:val="0"/>
          <w:numId w:val="2"/>
        </w:numPr>
        <w:spacing w:after="80" w:line="360"/>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360"/>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360"/>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360"/>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360"/>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360"/>
        <w:jc w:val="both"/>
      </w:pPr>
      <w:r>
        <w:rPr>
          <w:rFonts w:ascii="Times New Roman" w:cs="Times New Roman" w:eastAsia="Times New Roman" w:hAnsi="Times New Roman"/>
          <w:sz w:val="24"/>
          <w:szCs w:val="24"/>
        </w:rPr>
        <w:t xml:space="preserve">This thesis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Thesis structure</w:t>
      </w:r>
    </w:p>
    <w:p>
      <w:pPr>
        <w:spacing w:after="160" w:line="360"/>
        <w:jc w:val="both"/>
      </w:pPr>
      <w:r>
        <w:rPr>
          <w:rFonts w:ascii="Times New Roman" w:cs="Times New Roman" w:eastAsia="Times New Roman" w:hAnsi="Times New Roman"/>
          <w:sz w:val="24"/>
          <w:szCs w:val="24"/>
        </w:rPr>
        <w:t xml:space="preserve">Chapter 2 surveys related work and isolates the gap. Chapter 3 details the methodology: the matched-pair design, quantization, benchmarks, scoring, the interpretation framework, and the statistical procedure. Chapter 4 documents the system design and implementation. Chapter 5 describes the experimental setup. Chapter 6 presents the results. Chapter 7 discusses them and the threats to validity, Chapter 8 records limitations, Chapter 9 proposes future work,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360"/>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thesis’s headline, Hong et al. [8] scrutinise trustworthiness across five compression methods and eight trust dimensions and report that four-bit quantization broadly preserves trustworthiness — unlike pruning, which degrades it, and unlike more extreme three-bit compression, where erosion appears — the nearest prior analogue to the null-safety-at-four-bit picture found here, though their study covers larger models and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360"/>
        <w:jc w:val="both"/>
      </w:pPr>
      <w:r>
        <w:rPr>
          <w:rFonts w:ascii="Times New Roman" w:cs="Times New Roman" w:eastAsia="Times New Roman" w:hAnsi="Times New Roman"/>
          <w:sz w:val="24"/>
          <w:szCs w:val="24"/>
        </w:rPr>
        <w:t xml:space="preserve">HarmBench [3] provides a standardized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thesis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360"/>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thesis follows that guidance (a primary classifier, a second independent judge, κ reporting, bootstrap confidence intervals) and adds a human-label validation on a stratified 200-item subset —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360"/>
        <w:jc w:val="both"/>
      </w:pPr>
      <w:r>
        <w:rPr>
          <w:rFonts w:ascii="Times New Roman" w:cs="Times New Roman" w:eastAsia="Times New Roman" w:hAnsi="Times New Roman"/>
          <w:sz w:val="24"/>
          <w:szCs w:val="24"/>
        </w:rPr>
        <w:t xml:space="preserve">Three observations define the gap this thesis addresses. First, the quantization–safety literature reports inconsistent, method- and model-dependent effects [4]–[5],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360"/>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thesis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360"/>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360"/>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360"/>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360"/>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360"/>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thesis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360"/>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applying a condensed one-sentence yes/no rubric that encodes the same harmful-behaviour criterion as the HarmBench classifier rather than the classifier’s full enumerated template [11], [12]. A deterministic refusal regex is retained only as a secondary, transparent proxy. This choice is itself a research object: the thesis reports the agreement between scorers and shows that the regex over-counts, which is why it is demoted. MMLU and ARC use deterministic exact match; XSTest over-refusal uses the deterministic regex as the primary scorer, cross-checked by an independent three-class refusal judge as a sensitivity layer (§7.2). XSTest’s own evaluation relies on LLM-based three-way labelling (full compliance / partial refusal / full refusal) rather than a released fine-tuned classifier; this study retains regex parsing as a deliberate, reproducibility-motivated deviation that yields a coarser binary refusal / non-refusal construct (the HarmBench classifier itself judges harmful compliance only, so it does not cover over-refusal), and adds the three-class judge only as a cross-check.</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360"/>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360"/>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(One reproducibility detail: the judge HarmBench ASR intervals in the 128-vs-512 comparison of §6.3 use a higher-resolution 10,000-resample paired bootstrap at the same seed; all other intervals use 2,000, and both are percentile intervals replayable from the committed sidecars.)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360"/>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360"/>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360"/>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A suite of 382 automated tests covers the schema, loaders, scorers, analysis mathematics, and the cluster job generator; a machine claim lock, run inside the suite, additionally asserts every load-bearing number in the report and thesis builders against the committed analysis artefacts, so a prose claim cannot silently drift from its evidence.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360"/>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360"/>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382 automated tests + machine claim lock</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360"/>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as a local script that calls an external API, so for that cross-check the (public) HarmBench behaviour string and the model's generation are transmitted off-cluster while the primary classifier runs entirely on TC1; only redacted identifier-and-boolean sidecars are stored.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360"/>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(29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 against the human's 200 labels the regex over-flagged 101 responses as harmful to the classifier's 18, and the human, flagging 37, applied the highest bar of the three —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360"/>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360"/>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under the primary regex scorer; an independent refusal judge does not reproduce it, so it is scorer-dependent — §7.2), while Qwen3-1.7B’s smaller decrease is not significant on either criterion (−0.024, McNemar p = 0.109; its CI [−0.048, 0.000] touches zero). No pair becomes significantly more trigger-happy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360"/>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(93.5–98.0 percent for Mistral, 3.0–4.0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360"/>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under that parser the dramatic within-Qwen scale gap looks partly MMLU-specific. This apparent divergence is, however, a parsing artefact rather than genuine MMLU-specificity: the option-letter parser falls back to a lenient “first in-range capital letter anywhere” scan when a response neither leads with the option letter nor states an explicit “answer is X”, and for qwen_2b_4bit this fallback fires on 48.7 percent of MMLU items and 52.3 percent of ARC items (versus about 3 percent at fp16), salvaging the format-broken ARC answers more accurately (66 percent) than the MMLU ones (46 percent against the leading-letter rule’s 75 percent) and so masking the ARC loss. Part of the −0.090 gap therefore reflects a shift in answer format that the lenient parser scores less reliably, not only lost knowledge. Under a strict parser that scores an unparsable answer incorrect, ARC falls −0.343 and MMLU −0.293 — comparable large losses on both; the ARC drop above, scored by an identical protocol for both members, thus corroborates the direction of the loss while its lenient near-zero magnitude reflects parser salvage, not immunity. Each benchmark’s loss is honestly a bracket whose lenient end tracks answer-knowledge (largely preserved, since the salvaged answers are 66 percent correct) and whose strict end tracks format-compliant answering, and answer-format parsing is a third measurement-dependence axis alongside the harm and over-refusal scorers. The capability anchor is what allows the safety deltas to be read correctly: the smallest Qwen pair is a capability story with a flat harm axis, and Llama’s harm decrease arrives together with its capability loss, so its lower ASR is more consistent with a capability side-effect than with a genuine alignment improvement, which is why it carries the capability-collapse-masquerading-as-safety label (that label encodes the correlation between the two axes; it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360"/>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reinforcing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360"/>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two multiplicity-robust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 attributable, since Llama truncates at only 3–4 percent (§6.3), to cross-run greedy divergence on thin-margin prompts rather than to truncation —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360"/>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360"/>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Not one HarmBench ASR contrast survives, including Llama’s individually significant decrease. The two capability survivors rest on deterministic exact-match scoring (MMLU and ARC parse an option letter; no refusal scorer is involved); the over-refusal survivor is regex-scored and scorer-dependent (an independent refusal judge does not reproduce it, §7.2). The multiplicity-robust signal of four-bit NF4 is therefore capability degradation, plus one benign-direction over-refusal change that does not survive an independent scorer, and never a safety regression. This is the thesis’s headline empirical claim.</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robustly survives multiplicity correction, the one over-refusal survivor being scorer-dependent (RQ3); the smallest model is the most capability-sensitive but shows no genuine safety shift once truncation is controlled (RQ4); and the cross-family, cross-precision picture is a consistent power-bounded null on safety with a capability cliff at four-bit (RQ5). This picture is consistent with the one prior study that likewise isolates four-bit quantization — Hong et al. [8], across a broader trust taxonomy and larger models — which reports that four-bit compression broadly preserves trustworthiness; the matched-pair capability anchor and classifier-validated scorer used here sharpen that observation into a per-pair separation of capability change from alignment change.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360"/>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360"/>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0.68–0.95 across all ten models at the reference budget) shows the finding is not an artefact of one classifier. A stratified human-label audit (200 items, single annotator — the author —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(both scorers' population agreement would sit higher); and the annotation view was capped at the first 2,000 characters of each response while the scorers saw the full text, which can only inflate measured disagreement. The residual is honestly bounded — κ 0.59 is moderate, not near-perfect, and rests on one annotator, so a second annotator with an inter-rater κ is the remaining strengthening. Over-refusal remains regex-scored, a known weaker construct; the single over-refusal contrast that survives multiplicity correction (Phi-4-mini’s −0.048 decrease) therefore inherits that same weaker-construct status. To test that survivor for scorer-robustness — the same question the classifier settled for HarmBench — the 3,750 saved benign XSTest responses were re-scored by an independent three-class refusal judge (GPT-4o, pinned dated snapshot, temperature 0, zero parse failures) applying the XSTest paper's own full-compliance / partial-refusal / full-refusal taxonomy [9], as a sensitivity layer that leaves the regex primary and the multiplicity family unchanged. The judge does not reproduce the −0.048 decrease: Phi’s judge ΔOR is +0.016 (strict, direction reversed; McNemar p = 0.597) or −0.004 (broad; p = 1.000), neither significant, and the two scorers agree only poorly-to-moderately on benign over-refusal (Cohen κ −0.01 to 0.50 across the ten NF4 aliases, with the judge counting roughly four times as many refusals). The one multiplicity-robust over-refusal contrast is therefore scorer-dependent — a reproducible property of the refusal regex, not a classifier- or human-validated over-refusal shift — which extends the thesis’s central scorer-sensitivity message from the harmful-compliance axis to the over-refusal axis; a human-labelled refusal gold set is the remaining strengthening there.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360"/>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360"/>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360"/>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360"/>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360"/>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 second annotator for an inter-rater κ remains the strengthening.</w:t>
      </w:r>
    </w:p>
    <w:p>
      <w:pPr>
        <w:pStyle w:val="ListParagraph"/>
        <w:numPr>
          <w:ilvl w:val="0"/>
          <w:numId w:val="3"/>
        </w:numPr>
        <w:spacing w:after="80" w:line="360"/>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360"/>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3–4 percent).</w:t>
      </w:r>
    </w:p>
    <w:p>
      <w:pPr>
        <w:pStyle w:val="ListParagraph"/>
        <w:numPr>
          <w:ilvl w:val="0"/>
          <w:numId w:val="3"/>
        </w:numPr>
        <w:spacing w:after="80" w:line="360"/>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360"/>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Future Work</w:t>
      </w:r>
    </w:p>
    <w:p>
      <w:pPr>
        <w:pStyle w:val="ListParagraph"/>
        <w:numPr>
          <w:ilvl w:val="0"/>
          <w:numId w:val="4"/>
        </w:numPr>
        <w:spacing w:after="80" w:line="360"/>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360"/>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 and an open-weight guard model (e.g. Llama Guard [18]) for a fully reproducible cross-check.</w:t>
      </w:r>
    </w:p>
    <w:p>
      <w:pPr>
        <w:pStyle w:val="ListParagraph"/>
        <w:numPr>
          <w:ilvl w:val="0"/>
          <w:numId w:val="4"/>
        </w:numPr>
        <w:spacing w:after="80" w:line="360"/>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4"/>
          <w:szCs w:val="24"/>
        </w:rPr>
        <w:t xml:space="preserve">This thesis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that is itself scorer-dependent (not reproduced by an independent refusal judge). Capability degradation is a clean cliff at four-bit, is budget-invariant, and is the robust cost of NF4 in this regime.</w:t>
      </w:r>
    </w:p>
    <w:p>
      <w:pPr>
        <w:spacing w:after="160" w:line="360"/>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arXiv preprint arXiv:2502.15799, 2025.</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360"/>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360"/>
        <w:jc w:val="both"/>
      </w:pPr>
      <w:r>
        <w:rPr>
          <w:rFonts w:ascii="Times New Roman" w:cs="Times New Roman" w:eastAsia="Times New Roman" w:hAnsi="Times New Roman"/>
          <w:sz w:val="24"/>
          <w:szCs w:val="24"/>
        </w:rPr>
        <w:t xml:space="preserve">The framework ships 382 automated tests across the schema, loaders (including the fail-loud quantization guard), scorers, analysis mathematics (delta computation, paired bootstrap, McNemar, Cohen’s κ), and the SLURM job generator; a machine claim lock (scripts/verify_report_claims.py, run inside the suite) additionally asserts every load-bearing number in the report and this thesis against the committed analysis artefacts under results_512/analysis/, so the documents cannot drift from the evidence without failing the build. Result artefacts comprise per-prompt redacted score sidecars, per-model judge summaries, and analysis files (pairwise deltas, judge agreement, the precision sweep). A checksum manifest pins the immutable raw artefacts.</w:t>
      </w:r>
    </w:p>
    <w:sectPr>
      <w:headerReference w:type="default" r:id="rId7"/>
      <w:footerReference w:type="default" r:id="rId8"/>
      <w:pgSz w:w="11906" w:h="16838" w:orient="portrait"/>
      <w:pgMar w:top="1273" w:right="1273" w:bottom="1273"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2026-07-15T09:08:44.095Z</dcterms:created>
  <dcterms:modified xsi:type="dcterms:W3CDTF">2026-07-15T09:08:44.100Z</dcterms:modified>
</cp:coreProperties>
</file>

<file path=docProps/custom.xml><?xml version="1.0" encoding="utf-8"?>
<Properties xmlns="http://schemas.openxmlformats.org/officeDocument/2006/custom-properties" xmlns:vt="http://schemas.openxmlformats.org/officeDocument/2006/docPropsVTypes"/>
</file>