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and that lone over-refusal survivor is itself scorer-dependent: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so that survivor is scorer-dependent. Qwen3-1.7B shows a non-significant decrease (−0.024,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sharpens that reading: the MMLU answer parser falls back to a lenient "first in-range capital letter anywhere" scan whenever a response neither leads with the option letter nor states an explicit "answer is X", and this fallback fires on 48.7 percent of qwen_2b_4bit items against just 3.3 percent for its fp16 twin, at an accuracy (46 percent) well below the leading-letter rule's (75 percent). Part of the −0.090 MMLU gap therefore reflects a shift in answer format that the lenient parser scores less reliably, not only lost knowledge; ARC-Challenge, scored by an identical protocol for both members and free of this format asymmetry, moves in the same negative direction (−0.009, not significant), which corroborates the direction of the loss while showing that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are classifier- and human-anchored; the over-refusal survivor is itself regex-scored, so it inherits the same weaker-construct status as the demoted proxy, and an independent three-class refusal judge does not reproduce it (§7.2), so it should be read as a reproducible, scorer-dependent non-refusal-rate change,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NF4 aliases, with the judge counting roughly four times as many refusals). The one multiplicity-robust over-refusal contrast is therefore scorer-dependent, a reproducible property of the refusal regex rather than a classifier- or human-validated over-refusal shift,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2026-07-14T03:03:00.310Z</dcterms:created>
  <dcterms:modified xsi:type="dcterms:W3CDTF">2026-07-14T03:03:00.310Z</dcterms:modified>
</cp:coreProperties>
</file>

<file path=docProps/custom.xml><?xml version="1.0" encoding="utf-8"?>
<Properties xmlns="http://schemas.openxmlformats.org/officeDocument/2006/custom-properties" xmlns:vt="http://schemas.openxmlformats.org/officeDocument/2006/docPropsVTypes"/>
</file>