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and for qwen_2b_4bit this fallback fires on 48.7 percent of MMLU items and 52.3 percent of ARC items (versus about 3 percent at fp16), salvaging the format-broken ARC answers more accurately (66 percent) than the MMLU ones (46 percent against the leading-letter rule’s 75 percent) and so masking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are classifier- and human-anchored;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NF4 aliases,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2026-07-14T03:34:16.784Z</dcterms:created>
  <dcterms:modified xsi:type="dcterms:W3CDTF">2026-07-14T03:34:16.785Z</dcterms:modified>
</cp:coreProperties>
</file>

<file path=docProps/custom.xml><?xml version="1.0" encoding="utf-8"?>
<Properties xmlns="http://schemas.openxmlformats.org/officeDocument/2006/custom-properties" xmlns:vt="http://schemas.openxmlformats.org/officeDocument/2006/docPropsVTypes"/>
</file>